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00" w:rsidRPr="004C2300" w:rsidRDefault="004C2300" w:rsidP="004C2300">
      <w:pPr>
        <w:shd w:val="clear" w:color="auto" w:fill="FEFEFE"/>
        <w:spacing w:after="0" w:line="240" w:lineRule="auto"/>
        <w:ind w:left="-142" w:firstLine="142"/>
        <w:rPr>
          <w:rFonts w:ascii="Segoe UI" w:eastAsia="Times New Roman" w:hAnsi="Segoe UI" w:cs="Segoe UI"/>
          <w:color w:val="0A0A0A"/>
          <w:sz w:val="18"/>
          <w:szCs w:val="24"/>
          <w:lang w:eastAsia="ru-RU"/>
        </w:rPr>
      </w:pPr>
      <w:bookmarkStart w:id="0" w:name="_GoBack"/>
      <w:r w:rsidRPr="004C2300">
        <w:rPr>
          <w:rFonts w:ascii="Segoe UI" w:eastAsia="Times New Roman" w:hAnsi="Segoe UI" w:cs="Segoe UI"/>
          <w:b/>
          <w:bCs/>
          <w:color w:val="526285"/>
          <w:sz w:val="28"/>
          <w:szCs w:val="38"/>
          <w:bdr w:val="none" w:sz="0" w:space="0" w:color="auto" w:frame="1"/>
          <w:lang w:eastAsia="ru-RU"/>
        </w:rPr>
        <w:t>ՄԵՂՎԱԲՈՒԾՈՒԹՅԱՆ ԶԱՐԳԱՑՄԱՆ ՓՈՐՁՆԱԿԱՆ ԾՐԱԳԻՐ</w:t>
      </w:r>
    </w:p>
    <w:bookmarkEnd w:id="0"/>
    <w:p w:rsidR="004C2300" w:rsidRPr="004C2300" w:rsidRDefault="004C2300" w:rsidP="004C2300">
      <w:pPr>
        <w:shd w:val="clear" w:color="auto" w:fill="FEFEFE"/>
        <w:spacing w:after="0" w:line="240" w:lineRule="auto"/>
        <w:jc w:val="center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A0A0A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ineconomy.a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mineconomy.a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D56wIAAOc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XKFD56wIAAOc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4C2300" w:rsidRPr="004C2300" w:rsidRDefault="004C2300" w:rsidP="004C23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hyperlink r:id="rId6" w:history="1">
        <w:proofErr w:type="spellStart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Հայաստանի</w:t>
        </w:r>
        <w:proofErr w:type="spellEnd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Հանրապետությունում</w:t>
        </w:r>
        <w:proofErr w:type="spellEnd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անասնաբուծության</w:t>
        </w:r>
        <w:proofErr w:type="spellEnd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խթանման</w:t>
        </w:r>
        <w:proofErr w:type="spellEnd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ծրագրերը</w:t>
        </w:r>
        <w:proofErr w:type="spellEnd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հաստատելու</w:t>
        </w:r>
        <w:proofErr w:type="spellEnd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մասին</w:t>
        </w:r>
        <w:proofErr w:type="spellEnd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ՀՀ </w:t>
        </w:r>
        <w:proofErr w:type="spellStart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կառավարության</w:t>
        </w:r>
        <w:proofErr w:type="spellEnd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22 </w:t>
        </w:r>
        <w:proofErr w:type="spellStart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օգոստոսի</w:t>
        </w:r>
        <w:proofErr w:type="spellEnd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2024 </w:t>
        </w:r>
        <w:proofErr w:type="spellStart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թվականի</w:t>
        </w:r>
        <w:proofErr w:type="spellEnd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 xml:space="preserve"> N 1392-Լ </w:t>
        </w:r>
        <w:proofErr w:type="spellStart"/>
        <w:r w:rsidRPr="004C2300">
          <w:rPr>
            <w:rFonts w:ascii="Segoe UI" w:eastAsia="Times New Roman" w:hAnsi="Segoe UI" w:cs="Segoe UI"/>
            <w:b/>
            <w:bCs/>
            <w:i/>
            <w:iCs/>
            <w:color w:val="337AB7"/>
            <w:sz w:val="24"/>
            <w:szCs w:val="24"/>
            <w:bdr w:val="none" w:sz="0" w:space="0" w:color="auto" w:frame="1"/>
            <w:lang w:eastAsia="ru-RU"/>
          </w:rPr>
          <w:t>որոշում</w:t>
        </w:r>
        <w:proofErr w:type="spellEnd"/>
      </w:hyperlink>
    </w:p>
    <w:p w:rsidR="004C2300" w:rsidRPr="004C2300" w:rsidRDefault="004C2300" w:rsidP="004C2300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Մեղվաբուծության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զարգացման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փորձնական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ծրագիրը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կիրականացվի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Հայաստանի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Հանրապետության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բոլոր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մարզերում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2024-2025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թթ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ընթացքում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          </w:t>
      </w:r>
    </w:p>
    <w:p w:rsidR="004C2300" w:rsidRPr="004C2300" w:rsidRDefault="004C2300" w:rsidP="004C2300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նպաստել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մեր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երկրում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մեղվաբուծության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խթանմանը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ճյուղի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արդյունավետության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բարձրացմանը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սահմանամերձ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բնակավայրերի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չօգտագործվող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բնական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կերհանդակների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այլընտրանքային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օգտագործման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խթանմանը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ինչպես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նաև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մեղվաբուծական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տնտեսությունների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արտադրվող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մեղրամթերքի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մրցունակության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բարձրացմանը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:     </w:t>
      </w:r>
    </w:p>
    <w:p w:rsidR="004C2300" w:rsidRPr="004C2300" w:rsidRDefault="004C2300" w:rsidP="004C2300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Նախատեսվում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ծախսերի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 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փոխհատուցման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եղանակով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մարզերի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ազգաբնակչությանը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հնարավորություն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ընձեռել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երկու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տարվա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ընթացքում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ձեռք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բերել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10000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մեղվաընտանիք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   </w:t>
      </w:r>
    </w:p>
    <w:p w:rsidR="004C2300" w:rsidRPr="004C2300" w:rsidRDefault="004C2300" w:rsidP="004C2300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Մեկ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մեղվաընտանիքի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մեղվափեթակների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հետ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միասին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8-12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շրջանակով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 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արժեքը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սահմանված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80000 ՀՀ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դրամը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                            </w:t>
      </w:r>
    </w:p>
    <w:p w:rsidR="004C2300" w:rsidRPr="004C2300" w:rsidRDefault="004C2300" w:rsidP="004C23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պայմաններն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են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՝     </w:t>
      </w:r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                                                                              </w:t>
      </w:r>
    </w:p>
    <w:p w:rsidR="004C2300" w:rsidRPr="004C2300" w:rsidRDefault="004C2300" w:rsidP="004C2300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ծրագրի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 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հանդիսանալ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 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իրավաբանական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անձինք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անհատ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ձեռնարկատերերը</w:t>
      </w:r>
      <w:proofErr w:type="spellEnd"/>
      <w:r w:rsidRPr="004C2300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    </w:t>
      </w:r>
    </w:p>
    <w:p w:rsidR="004C2300" w:rsidRPr="004C2300" w:rsidRDefault="004C2300" w:rsidP="004C2300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բերել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նվազագույնը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10 և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առավելագույնը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50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մեղվաընտանիք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մեղվափեթակների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հետ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միասին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8-12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շրջանակով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</w:t>
      </w:r>
      <w:r w:rsidRPr="004C2300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</w:p>
    <w:p w:rsidR="004C2300" w:rsidRPr="004C2300" w:rsidRDefault="004C2300" w:rsidP="004C2300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փոխհատուցվում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բերված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յուրաքանչյուր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մեղվաընտանիքի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մեղվափեթակի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հետ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միասին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արժեքի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50 %-ը,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բայց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ոչ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քան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40000 ՀՀ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դրամը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4C2300" w:rsidRPr="004C2300" w:rsidRDefault="004C2300" w:rsidP="004C2300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br/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շրջանակներում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նախապատվությունը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կտրվի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երիտասարդ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ընտանիքներին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 (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ամուսինների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տարիքի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հանրագումարը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70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տարեկանից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ոչ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բարձր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),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ցանկացած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նպատակով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սոցիալական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աջակցություն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ստացող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ընտանիքներին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զինվորական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ծառայության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պարտականությունների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կատարման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ժամանակ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մարտական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հերթապահության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կամ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գործողությունների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իրականացման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արդյունքում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հաշմանդամ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դարձած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քաղաքացիներին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                                                          </w:t>
      </w:r>
    </w:p>
    <w:p w:rsidR="004C2300" w:rsidRPr="004C2300" w:rsidRDefault="004C2300" w:rsidP="004C23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Ծրագրին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մասնակցելու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նպատակով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շահառուն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պետք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է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նախարարություն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ներկայացնի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՝</w:t>
      </w:r>
    </w:p>
    <w:p w:rsidR="004C2300" w:rsidRPr="004C2300" w:rsidRDefault="004C2300" w:rsidP="004C2300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proofErr w:type="gram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էլեկտրոնային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եղանակով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դիմում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secretariat@mineconomy.am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էլեկտրոնային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հասցեին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նշելով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բերվող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մեղվաընտանիքների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((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մեղվափեթակների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հետ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միասին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8-12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շրջանակով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քանակը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ձեռքբերման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ժամկետը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բարվոք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վարկային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պատմության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վերաբերյալ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ԱՔՐԱ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տեղեկատվություն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հարկային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պարտավորությունների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վերաբերյալ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տեղեկանք</w:t>
      </w:r>
      <w:proofErr w:type="spellEnd"/>
      <w:r w:rsidRPr="004C2300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   </w:t>
      </w:r>
      <w:proofErr w:type="gramEnd"/>
    </w:p>
    <w:p w:rsidR="004C2300" w:rsidRPr="004C2300" w:rsidRDefault="004C2300" w:rsidP="004C2300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բերված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մեղվաընտանիքները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պետք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լինեն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բացառապես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տվյալ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տարում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ստացված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սերնդից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ունենան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անասնաբուժական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տեղեկանք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որը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կհավաստի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մեղուների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հիվանդությունների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դեմ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պատվաստված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լինելու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հանգամանքը</w:t>
      </w:r>
      <w:proofErr w:type="spellEnd"/>
      <w:r w:rsidRPr="004C2300">
        <w:rPr>
          <w:rFonts w:ascii="Cambria Math" w:eastAsia="Times New Roman" w:hAnsi="Cambria Math" w:cs="Cambria Math"/>
          <w:color w:val="4D4D4D"/>
          <w:sz w:val="24"/>
          <w:szCs w:val="24"/>
          <w:lang w:eastAsia="ru-RU"/>
        </w:rPr>
        <w:t>․</w:t>
      </w:r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</w:p>
    <w:p w:rsidR="004C2300" w:rsidRPr="004C2300" w:rsidRDefault="004C2300" w:rsidP="004C2300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եթե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բերվել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15-ից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ավելի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մեղվաընտանիք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ապա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պետք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ներկայացնի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նաև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մեկ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ժամկետով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բանկային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երաշխիք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բերված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մեղվաընտանիքների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ընդհանուր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արժեքի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600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հազար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դրամի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տարբերության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չափով</w:t>
      </w:r>
      <w:proofErr w:type="spellEnd"/>
      <w:r w:rsidRPr="004C2300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 </w:t>
      </w:r>
    </w:p>
    <w:p w:rsidR="004C2300" w:rsidRPr="004C2300" w:rsidRDefault="004C2300" w:rsidP="004C23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lastRenderedPageBreak/>
        <w:t>Շահառուն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մեղվաընտանիքը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մեղվափեթակով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պետք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է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ձեռք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բերի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իրավաբանական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անձից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կամ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անհատ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ձեռնարկատերից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:  </w:t>
      </w:r>
    </w:p>
    <w:p w:rsidR="004C2300" w:rsidRPr="004C2300" w:rsidRDefault="004C2300" w:rsidP="004C2300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Մեղվաբուծության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զարգացման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փորձնական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շրջանակում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մեղվափեթակ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և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մեղվաընտանիք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վաճառող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իրավաբանական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անձանց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կամ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անհատ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ձեռնարկատերի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instrText xml:space="preserve"> HYPERLINK "https://mineconomy.am/media/32913/Cank%20EN%20kayq%20Mexvabuc.%20zargacman%20cragri%20matakarar.pdf" </w:instrText>
      </w:r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4C2300">
        <w:rPr>
          <w:rFonts w:ascii="Segoe UI" w:eastAsia="Times New Roman" w:hAnsi="Segoe UI" w:cs="Segoe UI"/>
          <w:b/>
          <w:bCs/>
          <w:color w:val="337AB7"/>
          <w:sz w:val="24"/>
          <w:szCs w:val="24"/>
          <w:bdr w:val="none" w:sz="0" w:space="0" w:color="auto" w:frame="1"/>
          <w:lang w:eastAsia="ru-RU"/>
        </w:rPr>
        <w:t>ցանկ</w:t>
      </w:r>
      <w:proofErr w:type="spellEnd"/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fldChar w:fldCharType="end"/>
      </w:r>
      <w:r w:rsidRPr="004C2300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: </w:t>
      </w:r>
    </w:p>
    <w:p w:rsidR="004C2300" w:rsidRPr="004C2300" w:rsidRDefault="004C2300" w:rsidP="004C2300">
      <w:pPr>
        <w:shd w:val="clear" w:color="auto" w:fill="FEFEFE"/>
        <w:spacing w:after="150"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Սույն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ծրագրից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յուրաքանչյուր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շահառու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օգտվել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միայն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մեկ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անգամ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      </w:t>
      </w:r>
    </w:p>
    <w:p w:rsidR="004C2300" w:rsidRPr="004C2300" w:rsidRDefault="004C2300" w:rsidP="004C2300">
      <w:pPr>
        <w:shd w:val="clear" w:color="auto" w:fill="FEFEFE"/>
        <w:spacing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մանրամասներին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եք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ծանոթանալ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 </w:t>
      </w:r>
      <w:proofErr w:type="spellStart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begin"/>
      </w:r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instrText xml:space="preserve"> HYPERLINK "https://mineconomy.am/media/30198/1392.3%20%284%29.pdf" </w:instrText>
      </w:r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separate"/>
      </w:r>
      <w:r w:rsidRPr="004C2300">
        <w:rPr>
          <w:rFonts w:ascii="Segoe UI" w:eastAsia="Times New Roman" w:hAnsi="Segoe UI" w:cs="Segoe UI"/>
          <w:b/>
          <w:bCs/>
          <w:color w:val="337AB7"/>
          <w:sz w:val="24"/>
          <w:szCs w:val="24"/>
          <w:bdr w:val="none" w:sz="0" w:space="0" w:color="auto" w:frame="1"/>
          <w:lang w:eastAsia="ru-RU"/>
        </w:rPr>
        <w:t>այստեղ</w:t>
      </w:r>
      <w:proofErr w:type="spellEnd"/>
      <w:r w:rsidRPr="004C2300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fldChar w:fldCharType="end"/>
      </w:r>
    </w:p>
    <w:p w:rsidR="00114C62" w:rsidRDefault="00114C62"/>
    <w:sectPr w:rsidR="00114C62" w:rsidSect="004C230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E09C2"/>
    <w:multiLevelType w:val="multilevel"/>
    <w:tmpl w:val="15F2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170FE1"/>
    <w:multiLevelType w:val="multilevel"/>
    <w:tmpl w:val="9DAA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00"/>
    <w:rsid w:val="00114C62"/>
    <w:rsid w:val="004C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2300"/>
    <w:rPr>
      <w:color w:val="0000FF"/>
      <w:u w:val="single"/>
    </w:rPr>
  </w:style>
  <w:style w:type="character" w:styleId="a5">
    <w:name w:val="Strong"/>
    <w:basedOn w:val="a0"/>
    <w:uiPriority w:val="22"/>
    <w:qFormat/>
    <w:rsid w:val="004C2300"/>
    <w:rPr>
      <w:b/>
      <w:bCs/>
    </w:rPr>
  </w:style>
  <w:style w:type="character" w:styleId="a6">
    <w:name w:val="Emphasis"/>
    <w:basedOn w:val="a0"/>
    <w:uiPriority w:val="20"/>
    <w:qFormat/>
    <w:rsid w:val="004C23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2300"/>
    <w:rPr>
      <w:color w:val="0000FF"/>
      <w:u w:val="single"/>
    </w:rPr>
  </w:style>
  <w:style w:type="character" w:styleId="a5">
    <w:name w:val="Strong"/>
    <w:basedOn w:val="a0"/>
    <w:uiPriority w:val="22"/>
    <w:qFormat/>
    <w:rsid w:val="004C2300"/>
    <w:rPr>
      <w:b/>
      <w:bCs/>
    </w:rPr>
  </w:style>
  <w:style w:type="character" w:styleId="a6">
    <w:name w:val="Emphasis"/>
    <w:basedOn w:val="a0"/>
    <w:uiPriority w:val="20"/>
    <w:qFormat/>
    <w:rsid w:val="004C23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56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81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conomy.am/media/30195/139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2667</Characters>
  <Application>Microsoft Office Word</Application>
  <DocSecurity>0</DocSecurity>
  <Lines>22</Lines>
  <Paragraphs>6</Paragraphs>
  <ScaleCrop>false</ScaleCrop>
  <Company>HP Inc.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2025-05-26T12:40:00Z</dcterms:created>
  <dcterms:modified xsi:type="dcterms:W3CDTF">2025-05-26T12:42:00Z</dcterms:modified>
</cp:coreProperties>
</file>