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4F" w:rsidRPr="0051424F" w:rsidRDefault="0051424F" w:rsidP="0051424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0A0A0A"/>
          <w:sz w:val="18"/>
          <w:szCs w:val="24"/>
          <w:lang w:eastAsia="ru-RU"/>
        </w:rPr>
      </w:pPr>
      <w:bookmarkStart w:id="0" w:name="_GoBack"/>
      <w:r w:rsidRPr="0051424F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>«</w:t>
      </w:r>
      <w:proofErr w:type="spellStart"/>
      <w:r w:rsidRPr="0051424F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>Խելացի</w:t>
      </w:r>
      <w:proofErr w:type="spellEnd"/>
      <w:r w:rsidRPr="0051424F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 xml:space="preserve">» </w:t>
      </w:r>
      <w:proofErr w:type="spellStart"/>
      <w:r w:rsidRPr="0051424F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>անասնաշենքերի</w:t>
      </w:r>
      <w:proofErr w:type="spellEnd"/>
      <w:r w:rsidRPr="0051424F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>կառուցման</w:t>
      </w:r>
      <w:proofErr w:type="spellEnd"/>
      <w:r w:rsidRPr="0051424F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>կամ</w:t>
      </w:r>
      <w:proofErr w:type="spellEnd"/>
      <w:r w:rsidRPr="0051424F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>վերակառուցման</w:t>
      </w:r>
      <w:proofErr w:type="spellEnd"/>
      <w:r w:rsidRPr="0051424F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 xml:space="preserve"> և </w:t>
      </w:r>
      <w:proofErr w:type="spellStart"/>
      <w:r w:rsidRPr="0051424F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>դրանց</w:t>
      </w:r>
      <w:proofErr w:type="spellEnd"/>
      <w:r w:rsidRPr="0051424F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>տեխնոլոգիական</w:t>
      </w:r>
      <w:proofErr w:type="spellEnd"/>
      <w:r w:rsidRPr="0051424F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>ապահովման</w:t>
      </w:r>
      <w:proofErr w:type="spellEnd"/>
      <w:r w:rsidRPr="0051424F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>աջակցության</w:t>
      </w:r>
      <w:proofErr w:type="spellEnd"/>
      <w:r w:rsidRPr="0051424F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 xml:space="preserve"> 2025-2028 </w:t>
      </w:r>
      <w:proofErr w:type="spellStart"/>
      <w:r w:rsidRPr="0051424F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>թվականների</w:t>
      </w:r>
      <w:proofErr w:type="spellEnd"/>
      <w:r w:rsidRPr="0051424F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>ծրագիր</w:t>
      </w:r>
      <w:proofErr w:type="spellEnd"/>
    </w:p>
    <w:bookmarkEnd w:id="0"/>
    <w:p w:rsidR="0051424F" w:rsidRPr="0051424F" w:rsidRDefault="0051424F" w:rsidP="0051424F">
      <w:pPr>
        <w:shd w:val="clear" w:color="auto" w:fill="FEFEFE"/>
        <w:spacing w:after="0" w:line="240" w:lineRule="auto"/>
        <w:jc w:val="center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0A0A0A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mineconomy.am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mineconomy.am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D56wIAAOcFAAAOAAAAZHJzL2Uyb0RvYy54bWysVM2O0zAQviPxDpbvaZJu2m2iTVe7/UFI&#10;C6y08ABu4jQWiR1st2lBSEhckXgEHoIL4mefIX0jxk7bbXcvCMjBGs9Mvvn7PGfnq7JASyoVEzzG&#10;fsfDiPJEpIzPY/zq5dQZYKQ04SkpBKcxXlOFz4ePH53VVUS7IhdFSiUCEK6iuopxrnUVua5KcloS&#10;1REV5WDMhCyJhqucu6kkNaCXhdv1vL5bC5lWUiRUKdCOWyMeWvwso4l+kWWKalTEGHLT9pT2nJnT&#10;HZ6RaC5JlbNkmwb5iyxKwjgE3UONiSZoIdkDqJIlUiiR6U4iSldkGUuorQGq8b171dzkpKK2FmiO&#10;qvZtUv8PNnm+vJaIpTA7jDgpYUTNl82HzefmZ3O7+dh8bW6bH5tPza/mW/MdgU9KVQL9M3NSMKiS&#10;cZoILsp1h5SuaWcNekC9qa6laYiqrkTyWiEuRjnhc3qhKhhKG26nklLUOSUp1OUbCPcIw1wUoKFZ&#10;/UykkCBZaGGbvcpkaWJAG9HKznS9nyldaZSA8sQLBh5MPgHTVjYRSLT7uZJKP6GiREaIsYTsLDhZ&#10;Xinduu5cTCwupqwoQE+igh8pALPVQGj41dhMEpYF70IvnAwmg8AJuv2JE3jjsXMxHQVOf+qf9sYn&#10;49Fo7L83cf0gylmaUm7C7BjpB3828e3baLm056QSBUsNnElJyflsVEi0JPAipvazLQfLnZt7nIbt&#10;F9RyryS/G3iX3dCZ9genTjANek546g0czw8vw74XhMF4elzSFZDl30tCdYzDXrdnp3SQ9L3aPPs9&#10;rI1EJdOwcwpWxhioAZ9xIpFh4ISnVtaEFa180AqT/l0rYNy7QVu+Goq27J+JdA10lQLoBMyD7QhC&#10;LuRbjGrYNDFWbxZEUoyKpxwoH/pBYFaTvQS90y5c5KFldmghPAGoGGuMWnGk23W2qCSb5xDJt43h&#10;4gKeScYshc0TarPaPi7YJraS7eYz6+rwbr3u9vPwN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XKFD56wIAAOc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51424F" w:rsidRPr="0051424F" w:rsidRDefault="0051424F" w:rsidP="0051424F">
      <w:pPr>
        <w:shd w:val="clear" w:color="auto" w:fill="FEFEFE"/>
        <w:spacing w:after="15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«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Խելացի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»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անասնաշենքերի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կառուցման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կամ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վերակառուցման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դրանց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տեխնոլոգիական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ապահովման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աջակցության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ծրագրի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հիմնական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նպատակն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բարելավել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կենդանիների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պահվածքի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պայմանները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`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արդյունքում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բարձ</w:t>
      </w:r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softHyphen/>
        <w:t>րացնելով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կենդանիների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մթերատվության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ցուցանիշները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։</w:t>
      </w:r>
    </w:p>
    <w:p w:rsidR="0051424F" w:rsidRPr="0051424F" w:rsidRDefault="0051424F" w:rsidP="0051424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Ծրագիրն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իրականացվելու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է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երկու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բաղադրիչով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՝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ծախսերի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մասնակի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փոխհատուցման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և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վարկերի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տոկոսադրույքների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մասնակի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սուբսիդավորման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միջոցով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:</w:t>
      </w:r>
    </w:p>
    <w:p w:rsidR="0051424F" w:rsidRPr="0051424F" w:rsidRDefault="0051424F" w:rsidP="0051424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Շահառուները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պետք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է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ընտրեն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առաջարկվող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3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մոդելներից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մեկը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՝</w:t>
      </w:r>
    </w:p>
    <w:p w:rsidR="0051424F" w:rsidRPr="0051424F" w:rsidRDefault="0051424F" w:rsidP="0051424F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hyperlink r:id="rId6" w:history="1">
        <w:r w:rsidRPr="0051424F">
          <w:rPr>
            <w:rFonts w:ascii="Segoe UI" w:eastAsia="Times New Roman" w:hAnsi="Segoe UI" w:cs="Segoe UI"/>
            <w:b/>
            <w:bCs/>
            <w:color w:val="337AB7"/>
            <w:sz w:val="24"/>
            <w:szCs w:val="24"/>
            <w:bdr w:val="none" w:sz="0" w:space="0" w:color="auto" w:frame="1"/>
            <w:lang w:eastAsia="ru-RU"/>
          </w:rPr>
          <w:t xml:space="preserve">1-ին </w:t>
        </w:r>
        <w:proofErr w:type="spellStart"/>
        <w:r w:rsidRPr="0051424F">
          <w:rPr>
            <w:rFonts w:ascii="Segoe UI" w:eastAsia="Times New Roman" w:hAnsi="Segoe UI" w:cs="Segoe UI"/>
            <w:b/>
            <w:bCs/>
            <w:color w:val="337AB7"/>
            <w:sz w:val="24"/>
            <w:szCs w:val="24"/>
            <w:bdr w:val="none" w:sz="0" w:space="0" w:color="auto" w:frame="1"/>
            <w:lang w:eastAsia="ru-RU"/>
          </w:rPr>
          <w:t>մոդել</w:t>
        </w:r>
        <w:proofErr w:type="spellEnd"/>
        <w:r w:rsidRPr="0051424F">
          <w:rPr>
            <w:rFonts w:ascii="Segoe UI" w:eastAsia="Times New Roman" w:hAnsi="Segoe UI" w:cs="Segoe UI"/>
            <w:b/>
            <w:bCs/>
            <w:color w:val="337AB7"/>
            <w:sz w:val="24"/>
            <w:szCs w:val="24"/>
            <w:bdr w:val="none" w:sz="0" w:space="0" w:color="auto" w:frame="1"/>
            <w:lang w:eastAsia="ru-RU"/>
          </w:rPr>
          <w:t>՝</w:t>
        </w:r>
      </w:hyperlink>
      <w:r w:rsidRPr="0051424F">
        <w:rPr>
          <w:rFonts w:ascii="Segoe UI" w:eastAsia="Times New Roman" w:hAnsi="Segoe UI" w:cs="Segoe UI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նախատեսված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անկապ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պահվածքով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20-25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գլուխ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կենդանու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համար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կառուցման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տեխնոլոգիական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ապահովման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ծախսերը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սահմանվում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առավելագույնը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30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մլն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դրամ</w:t>
      </w:r>
      <w:proofErr w:type="spellEnd"/>
    </w:p>
    <w:p w:rsidR="0051424F" w:rsidRPr="0051424F" w:rsidRDefault="0051424F" w:rsidP="0051424F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hyperlink r:id="rId7" w:history="1">
        <w:r w:rsidRPr="0051424F">
          <w:rPr>
            <w:rFonts w:ascii="Segoe UI" w:eastAsia="Times New Roman" w:hAnsi="Segoe UI" w:cs="Segoe UI"/>
            <w:b/>
            <w:bCs/>
            <w:color w:val="337AB7"/>
            <w:sz w:val="24"/>
            <w:szCs w:val="24"/>
            <w:bdr w:val="none" w:sz="0" w:space="0" w:color="auto" w:frame="1"/>
            <w:lang w:eastAsia="ru-RU"/>
          </w:rPr>
          <w:t xml:space="preserve">2-րդ </w:t>
        </w:r>
        <w:proofErr w:type="spellStart"/>
        <w:r w:rsidRPr="0051424F">
          <w:rPr>
            <w:rFonts w:ascii="Segoe UI" w:eastAsia="Times New Roman" w:hAnsi="Segoe UI" w:cs="Segoe UI"/>
            <w:b/>
            <w:bCs/>
            <w:color w:val="337AB7"/>
            <w:sz w:val="24"/>
            <w:szCs w:val="24"/>
            <w:bdr w:val="none" w:sz="0" w:space="0" w:color="auto" w:frame="1"/>
            <w:lang w:eastAsia="ru-RU"/>
          </w:rPr>
          <w:t>մոդել</w:t>
        </w:r>
        <w:proofErr w:type="spellEnd"/>
        <w:r w:rsidRPr="0051424F">
          <w:rPr>
            <w:rFonts w:ascii="Segoe UI" w:eastAsia="Times New Roman" w:hAnsi="Segoe UI" w:cs="Segoe UI"/>
            <w:b/>
            <w:bCs/>
            <w:color w:val="337AB7"/>
            <w:sz w:val="24"/>
            <w:szCs w:val="24"/>
            <w:bdr w:val="none" w:sz="0" w:space="0" w:color="auto" w:frame="1"/>
            <w:lang w:eastAsia="ru-RU"/>
          </w:rPr>
          <w:t>՝</w:t>
        </w:r>
      </w:hyperlink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 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նախատեսված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անկապ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պահվածքով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40-45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գլուխ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կենդանու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համար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կառուցման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տեխնոլոգիական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ապահովման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ծախսերը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սահմանվում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առավելագույնը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46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մլն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դրամ</w:t>
      </w:r>
      <w:proofErr w:type="spellEnd"/>
    </w:p>
    <w:p w:rsidR="0051424F" w:rsidRPr="0051424F" w:rsidRDefault="0051424F" w:rsidP="0051424F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r w:rsidRPr="0051424F">
        <w:rPr>
          <w:rFonts w:ascii="Segoe UI" w:eastAsia="Times New Roman" w:hAnsi="Segoe UI" w:cs="Segoe UI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 xml:space="preserve">3-րդ </w:t>
      </w:r>
      <w:proofErr w:type="spellStart"/>
      <w:r w:rsidRPr="0051424F">
        <w:rPr>
          <w:rFonts w:ascii="Segoe UI" w:eastAsia="Times New Roman" w:hAnsi="Segoe UI" w:cs="Segoe UI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>մոդել</w:t>
      </w:r>
      <w:proofErr w:type="spellEnd"/>
      <w:r w:rsidRPr="0051424F">
        <w:rPr>
          <w:rFonts w:ascii="Segoe UI" w:eastAsia="Times New Roman" w:hAnsi="Segoe UI" w:cs="Segoe UI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>՝</w:t>
      </w:r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 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նախատեսված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անկապ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պահվածքով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95-100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գլուխ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կենդանու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համար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կառուցման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տեխնոլոգիական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ապահովման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ծախսերը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սահմանվում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առավելագույնը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114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մլն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դրամ:3-րդ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մոդելի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համար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նախատեսված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տիպային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նախագծի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քանի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տարբերակ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՝ 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fldChar w:fldCharType="begin"/>
      </w:r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instrText xml:space="preserve"> HYPERLINK "https://mineconomy.am/media/33157/Tarberak%201.pdf" </w:instrText>
      </w:r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fldChar w:fldCharType="separate"/>
      </w:r>
      <w:r w:rsidRPr="0051424F">
        <w:rPr>
          <w:rFonts w:ascii="Segoe UI" w:eastAsia="Times New Roman" w:hAnsi="Segoe UI" w:cs="Segoe UI"/>
          <w:color w:val="337AB7"/>
          <w:sz w:val="24"/>
          <w:szCs w:val="24"/>
          <w:bdr w:val="none" w:sz="0" w:space="0" w:color="auto" w:frame="1"/>
          <w:lang w:eastAsia="ru-RU"/>
        </w:rPr>
        <w:t>տարբերակ</w:t>
      </w:r>
      <w:proofErr w:type="spellEnd"/>
      <w:r w:rsidRPr="0051424F">
        <w:rPr>
          <w:rFonts w:ascii="Segoe UI" w:eastAsia="Times New Roman" w:hAnsi="Segoe UI" w:cs="Segoe UI"/>
          <w:color w:val="337AB7"/>
          <w:sz w:val="24"/>
          <w:szCs w:val="24"/>
          <w:bdr w:val="none" w:sz="0" w:space="0" w:color="auto" w:frame="1"/>
          <w:lang w:eastAsia="ru-RU"/>
        </w:rPr>
        <w:t xml:space="preserve"> 1</w:t>
      </w:r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fldChar w:fldCharType="end"/>
      </w:r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, 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fldChar w:fldCharType="begin"/>
      </w:r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instrText xml:space="preserve"> HYPERLINK "https://mineconomy.am/media/33158/Tarberak%202.pdf" </w:instrText>
      </w:r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fldChar w:fldCharType="separate"/>
      </w:r>
      <w:r w:rsidRPr="0051424F">
        <w:rPr>
          <w:rFonts w:ascii="Segoe UI" w:eastAsia="Times New Roman" w:hAnsi="Segoe UI" w:cs="Segoe UI"/>
          <w:color w:val="337AB7"/>
          <w:sz w:val="24"/>
          <w:szCs w:val="24"/>
          <w:bdr w:val="none" w:sz="0" w:space="0" w:color="auto" w:frame="1"/>
          <w:lang w:eastAsia="ru-RU"/>
        </w:rPr>
        <w:t>տարբերակ</w:t>
      </w:r>
      <w:proofErr w:type="spellEnd"/>
      <w:r w:rsidRPr="0051424F">
        <w:rPr>
          <w:rFonts w:ascii="Segoe UI" w:eastAsia="Times New Roman" w:hAnsi="Segoe UI" w:cs="Segoe UI"/>
          <w:color w:val="337AB7"/>
          <w:sz w:val="24"/>
          <w:szCs w:val="24"/>
          <w:bdr w:val="none" w:sz="0" w:space="0" w:color="auto" w:frame="1"/>
          <w:lang w:eastAsia="ru-RU"/>
        </w:rPr>
        <w:t xml:space="preserve"> 2</w:t>
      </w:r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fldChar w:fldCharType="end"/>
      </w:r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, 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fldChar w:fldCharType="begin"/>
      </w:r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instrText xml:space="preserve"> HYPERLINK "https://mineconomy.am/media/33159/Tarberak3.pdf" </w:instrText>
      </w:r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fldChar w:fldCharType="separate"/>
      </w:r>
      <w:r w:rsidRPr="0051424F">
        <w:rPr>
          <w:rFonts w:ascii="Segoe UI" w:eastAsia="Times New Roman" w:hAnsi="Segoe UI" w:cs="Segoe UI"/>
          <w:color w:val="337AB7"/>
          <w:sz w:val="24"/>
          <w:szCs w:val="24"/>
          <w:bdr w:val="none" w:sz="0" w:space="0" w:color="auto" w:frame="1"/>
          <w:lang w:eastAsia="ru-RU"/>
        </w:rPr>
        <w:t>տարբերակ</w:t>
      </w:r>
      <w:proofErr w:type="spellEnd"/>
      <w:r w:rsidRPr="0051424F">
        <w:rPr>
          <w:rFonts w:ascii="Segoe UI" w:eastAsia="Times New Roman" w:hAnsi="Segoe UI" w:cs="Segoe UI"/>
          <w:color w:val="337AB7"/>
          <w:sz w:val="24"/>
          <w:szCs w:val="24"/>
          <w:bdr w:val="none" w:sz="0" w:space="0" w:color="auto" w:frame="1"/>
          <w:lang w:eastAsia="ru-RU"/>
        </w:rPr>
        <w:t xml:space="preserve"> 3</w:t>
      </w:r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fldChar w:fldCharType="end"/>
      </w:r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։ </w:t>
      </w:r>
    </w:p>
    <w:p w:rsidR="0051424F" w:rsidRPr="0051424F" w:rsidRDefault="0051424F" w:rsidP="0051424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Բաղադրիչ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1.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Ծախսերի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մասնակի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փոխհատուցում</w:t>
      </w:r>
      <w:proofErr w:type="spellEnd"/>
    </w:p>
    <w:p w:rsidR="0051424F" w:rsidRPr="0051424F" w:rsidRDefault="0051424F" w:rsidP="0051424F">
      <w:pPr>
        <w:numPr>
          <w:ilvl w:val="0"/>
          <w:numId w:val="2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r w:rsidRPr="0051424F">
        <w:rPr>
          <w:rFonts w:ascii="Segoe UI" w:eastAsia="Times New Roman" w:hAnsi="Segoe UI" w:cs="Segoe UI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 xml:space="preserve">1-ին </w:t>
      </w:r>
      <w:proofErr w:type="spellStart"/>
      <w:r w:rsidRPr="0051424F">
        <w:rPr>
          <w:rFonts w:ascii="Segoe UI" w:eastAsia="Times New Roman" w:hAnsi="Segoe UI" w:cs="Segoe UI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>մոդել</w:t>
      </w:r>
      <w:proofErr w:type="spellEnd"/>
      <w:r w:rsidRPr="0051424F">
        <w:rPr>
          <w:rFonts w:ascii="Segoe UI" w:eastAsia="Times New Roman" w:hAnsi="Segoe UI" w:cs="Segoe UI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 xml:space="preserve">՝ 15 </w:t>
      </w:r>
      <w:proofErr w:type="spellStart"/>
      <w:r w:rsidRPr="0051424F">
        <w:rPr>
          <w:rFonts w:ascii="Segoe UI" w:eastAsia="Times New Roman" w:hAnsi="Segoe UI" w:cs="Segoe UI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>մլն</w:t>
      </w:r>
      <w:proofErr w:type="spellEnd"/>
      <w:r w:rsidRPr="0051424F">
        <w:rPr>
          <w:rFonts w:ascii="Segoe UI" w:eastAsia="Times New Roman" w:hAnsi="Segoe UI" w:cs="Segoe UI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>դրամ</w:t>
      </w:r>
      <w:proofErr w:type="spellEnd"/>
      <w:r w:rsidRPr="0051424F">
        <w:rPr>
          <w:rFonts w:ascii="Segoe UI" w:eastAsia="Times New Roman" w:hAnsi="Segoe UI" w:cs="Segoe UI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> </w:t>
      </w:r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(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կառուցման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տեխնոլոգիական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ապահովման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ծախսերի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50%-ը),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իսկ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զինվորական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ծառայության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պարտականությունների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կատարման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ժամանակ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մարտական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հերթապահության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գործողությունների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իրականացման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արդյունքում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իրավաբանական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անձի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հաշմանդամ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դարձած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հիմնադրին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անհատ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ձեռնարկատիրոջը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Հայաստանի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Հանրապետության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կառավարության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2014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թվականի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դեկտեմբերի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18-ի N 1444-Ն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որոշմամբ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հաստատված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սահմանամերձ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բնակավայրերում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գործունեություն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իրականացնող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տնտեսավարողներին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ինչպես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նաև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գյուղատնտեսության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ոլորտում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գործունեություն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իրականացնող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կոոպերատիվներին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21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մլն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դրամ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կառուցման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տեխնոլոգիական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ապահովման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ծախսերի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70%-ը),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վերակառուցման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համար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՝ 7</w:t>
      </w:r>
      <w:r w:rsidRPr="0051424F">
        <w:rPr>
          <w:rFonts w:ascii="Cambria Math" w:eastAsia="Times New Roman" w:hAnsi="Cambria Math" w:cs="Cambria Math"/>
          <w:color w:val="4D4D4D"/>
          <w:sz w:val="24"/>
          <w:szCs w:val="24"/>
          <w:lang w:eastAsia="ru-RU"/>
        </w:rPr>
        <w:t>․</w:t>
      </w:r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5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մլն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դրամ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կառուցման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տեխնոլոգիական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ապահովման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ծախսերի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25%-ը),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իսկ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զինվորական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ծառայության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պարտականությունների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կատարման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ժամանակ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մարտական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հերթապահության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գործողությունների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իրականացման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արդյունքում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իրավաբանական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անձի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հաշմանդամ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դարձած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հիմնադրին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անհատ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ձեռնարկատիրոջը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Հայաստանի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Հանրապետության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կառավարության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2014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թվականի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դեկտեմբերի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18-ի N 1444-Ն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որոշմամբ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հաստատված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սահմանամերձ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բնակավայրերում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գործունեություն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իրականացնող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տնտեսավարողներին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ինչպես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նաև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գյուղատնտեսության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ոլորտում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գործունեություն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իրականացնող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կոոպերատիվներին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՝ 13</w:t>
      </w:r>
      <w:r w:rsidRPr="0051424F">
        <w:rPr>
          <w:rFonts w:ascii="Cambria Math" w:eastAsia="Times New Roman" w:hAnsi="Cambria Math" w:cs="Cambria Math"/>
          <w:color w:val="4D4D4D"/>
          <w:sz w:val="24"/>
          <w:szCs w:val="24"/>
          <w:lang w:eastAsia="ru-RU"/>
        </w:rPr>
        <w:t>․</w:t>
      </w:r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5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մլն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դրամ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կառուցման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տեխնոլոգիական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ապահովման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ծախսերի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45%-ը)</w:t>
      </w:r>
    </w:p>
    <w:p w:rsidR="0051424F" w:rsidRPr="0051424F" w:rsidRDefault="0051424F" w:rsidP="0051424F">
      <w:pPr>
        <w:numPr>
          <w:ilvl w:val="0"/>
          <w:numId w:val="2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r w:rsidRPr="0051424F">
        <w:rPr>
          <w:rFonts w:ascii="Segoe UI" w:eastAsia="Times New Roman" w:hAnsi="Segoe UI" w:cs="Segoe UI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 xml:space="preserve">2-րդ </w:t>
      </w:r>
      <w:proofErr w:type="spellStart"/>
      <w:r w:rsidRPr="0051424F">
        <w:rPr>
          <w:rFonts w:ascii="Segoe UI" w:eastAsia="Times New Roman" w:hAnsi="Segoe UI" w:cs="Segoe UI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>մոդել</w:t>
      </w:r>
      <w:proofErr w:type="spellEnd"/>
      <w:r w:rsidRPr="0051424F">
        <w:rPr>
          <w:rFonts w:ascii="Segoe UI" w:eastAsia="Times New Roman" w:hAnsi="Segoe UI" w:cs="Segoe UI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 xml:space="preserve">՝ 23 </w:t>
      </w:r>
      <w:proofErr w:type="spellStart"/>
      <w:r w:rsidRPr="0051424F">
        <w:rPr>
          <w:rFonts w:ascii="Segoe UI" w:eastAsia="Times New Roman" w:hAnsi="Segoe UI" w:cs="Segoe UI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>մլն</w:t>
      </w:r>
      <w:proofErr w:type="spellEnd"/>
      <w:r w:rsidRPr="0051424F">
        <w:rPr>
          <w:rFonts w:ascii="Segoe UI" w:eastAsia="Times New Roman" w:hAnsi="Segoe UI" w:cs="Segoe UI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>դրամ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 (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կառուցման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տեխնոլոգիական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ապահովման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ծախսերի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50%-ը),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իսկ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զինվորական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ծառայության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պարտականությունների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կատարման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ժամանակ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մարտական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հերթապահության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գործողությունների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իրականացման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արդյունքում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իրավաբանական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անձի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հաշմանդամ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դարձած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հիմնադրին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անհատ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lastRenderedPageBreak/>
        <w:t>ձեռնարկատիրոջը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Հայաստանի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Հանրապետության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կառավարության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2014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թվականի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դեկտեմբերի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18-ի N 1444-Ն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որոշմամբ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հաստատված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սահմանամերձ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բնակավայրերում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գործունեություն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իրականացնող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տնտեսավարողներին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ինչպես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նաև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գյուղատնտեսության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ոլորտում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գործունեություն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իրականացնող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կոոպերատիվներին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32.2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մլն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դրամ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կառուցման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տեխնոլոգիական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ապահովման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ծախսերի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70%-ը),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վերակառուցման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համար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՝ 11</w:t>
      </w:r>
      <w:r w:rsidRPr="0051424F">
        <w:rPr>
          <w:rFonts w:ascii="Cambria Math" w:eastAsia="Times New Roman" w:hAnsi="Cambria Math" w:cs="Cambria Math"/>
          <w:color w:val="4D4D4D"/>
          <w:sz w:val="24"/>
          <w:szCs w:val="24"/>
          <w:lang w:eastAsia="ru-RU"/>
        </w:rPr>
        <w:t>․</w:t>
      </w:r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5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մլն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դրամ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կառուցման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տեխնոլոգիական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ապահովման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ծախսերի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25%-ը),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իսկ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զինվորական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ծառայության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պարտականությունների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կատարման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ժամանակ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մարտական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հերթապահության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գործողությունների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իրականացման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արդյունքում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իրավաբանական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անձի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հաշմանդամ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դարձած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հիմնադրին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անհատ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ձեռնարկատիրոջը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Հայաստանի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Հանրապետության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կառավարության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2014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թվականի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դեկտեմբերի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18-ի N 1444-Ն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որոշմամբ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հաստատված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սահմանամերձ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բնակավայրերում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գործունեություն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իրականացնող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տնտեսավարողներին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ինչպես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նաև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գյուղատնտեսության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ոլորտում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գործունեություն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իրականացնող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կոոպերատիվներին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՝ 20</w:t>
      </w:r>
      <w:r w:rsidRPr="0051424F">
        <w:rPr>
          <w:rFonts w:ascii="Cambria Math" w:eastAsia="Times New Roman" w:hAnsi="Cambria Math" w:cs="Cambria Math"/>
          <w:color w:val="4D4D4D"/>
          <w:sz w:val="24"/>
          <w:szCs w:val="24"/>
          <w:lang w:eastAsia="ru-RU"/>
        </w:rPr>
        <w:t>․</w:t>
      </w:r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7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մլն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դրամ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կառուցման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տեխնոլոգիական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ապահովման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ծախսերի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45%-ը)</w:t>
      </w:r>
    </w:p>
    <w:p w:rsidR="0051424F" w:rsidRPr="0051424F" w:rsidRDefault="0051424F" w:rsidP="0051424F">
      <w:pPr>
        <w:numPr>
          <w:ilvl w:val="0"/>
          <w:numId w:val="2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r w:rsidRPr="0051424F">
        <w:rPr>
          <w:rFonts w:ascii="Segoe UI" w:eastAsia="Times New Roman" w:hAnsi="Segoe UI" w:cs="Segoe UI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 xml:space="preserve">3-րդ </w:t>
      </w:r>
      <w:proofErr w:type="spellStart"/>
      <w:r w:rsidRPr="0051424F">
        <w:rPr>
          <w:rFonts w:ascii="Segoe UI" w:eastAsia="Times New Roman" w:hAnsi="Segoe UI" w:cs="Segoe UI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>մոդել</w:t>
      </w:r>
      <w:proofErr w:type="spellEnd"/>
      <w:r w:rsidRPr="0051424F">
        <w:rPr>
          <w:rFonts w:ascii="Segoe UI" w:eastAsia="Times New Roman" w:hAnsi="Segoe UI" w:cs="Segoe UI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 xml:space="preserve">՝ 57 </w:t>
      </w:r>
      <w:proofErr w:type="spellStart"/>
      <w:r w:rsidRPr="0051424F">
        <w:rPr>
          <w:rFonts w:ascii="Segoe UI" w:eastAsia="Times New Roman" w:hAnsi="Segoe UI" w:cs="Segoe UI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>մլն</w:t>
      </w:r>
      <w:proofErr w:type="spellEnd"/>
      <w:r w:rsidRPr="0051424F">
        <w:rPr>
          <w:rFonts w:ascii="Segoe UI" w:eastAsia="Times New Roman" w:hAnsi="Segoe UI" w:cs="Segoe UI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>դրամ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 (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կառուցման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տեխնոլոգիական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ապահովման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ծախսերի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50%-ը),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իսկ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զինվորական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ծառայության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պարտականությունների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կատարման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ժամանակ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մարտական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հերթապահության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գործողությունների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իրականացման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արդյունքում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իրավաբանական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անձի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հաշմանդամ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դարձած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հիմնադրին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անհատ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ձեռնարկատիրոջը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Հայաստանի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Հանրապետության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կառավարության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2014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թվականի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դեկտեմբերի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18-ի N 1444-Ն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որոշմամբ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հաստատված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սահմանամերձ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բնակավայրերում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գործունեություն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իրականացնող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տնտեսավարողներին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ինչպես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նաև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գյուղատնտեսության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ոլորտում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գործունեություն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իրականացնող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կոոպերատիվներին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79,8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մլն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դրամ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կառուցման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տեխնոլոգիական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ապահովման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ծախսերի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70%-ը),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վերակառուցման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համար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՝ 28</w:t>
      </w:r>
      <w:r w:rsidRPr="0051424F">
        <w:rPr>
          <w:rFonts w:ascii="Cambria Math" w:eastAsia="Times New Roman" w:hAnsi="Cambria Math" w:cs="Cambria Math"/>
          <w:color w:val="4D4D4D"/>
          <w:sz w:val="24"/>
          <w:szCs w:val="24"/>
          <w:lang w:eastAsia="ru-RU"/>
        </w:rPr>
        <w:t>․</w:t>
      </w:r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5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մլն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դրամ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կառուցման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տեխնոլոգիական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ապահովման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ծախսերի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25%-ը),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իսկ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զինվորական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ծառայության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պարտականությունների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կատարման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ժամանակ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մարտական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հերթապահության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գործողությունների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իրականացման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արդյունքում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իրավաբանական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անձի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հաշմանդամ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դարձած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հիմնադրին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անհատ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ձեռնարկատիրոջը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Հայաստանի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Հանրապետության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կառավարության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2014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թվականի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դեկտեմբերի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18-ի N 1444-Ն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որոշմամբ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հաստատված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սահմանամերձ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բնակավայրերում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գործունեություն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իրականացնող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տնտեսավարողներին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ինչպես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նաև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գյուղատնտեսության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ոլորտում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գործունեություն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իրականացնող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կոոպերատիվներին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51,3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մլն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դրամ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կառուցման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տեխնոլոգիական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ապահովման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ծախսերի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45%-ը)։</w:t>
      </w:r>
    </w:p>
    <w:p w:rsidR="0051424F" w:rsidRPr="0051424F" w:rsidRDefault="0051424F" w:rsidP="0051424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Փոխհատուցման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գումարը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նախարարության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կողմից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փոխանցվում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է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դիմումատուի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հաշվեհամարին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երեք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փուլով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՝</w:t>
      </w:r>
    </w:p>
    <w:p w:rsidR="0051424F" w:rsidRPr="0051424F" w:rsidRDefault="0051424F" w:rsidP="0051424F">
      <w:pPr>
        <w:numPr>
          <w:ilvl w:val="0"/>
          <w:numId w:val="3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51424F">
        <w:rPr>
          <w:rFonts w:ascii="Segoe UI" w:eastAsia="Times New Roman" w:hAnsi="Segoe UI" w:cs="Segoe UI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>առաջին</w:t>
      </w:r>
      <w:proofErr w:type="spellEnd"/>
      <w:r w:rsidRPr="0051424F">
        <w:rPr>
          <w:rFonts w:ascii="Segoe UI" w:eastAsia="Times New Roman" w:hAnsi="Segoe UI" w:cs="Segoe UI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>փուլի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 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փոխհատուցումը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կատարվում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անասնաշենքի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հաստատված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նախագծով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նախատեսված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շինարարության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թույլտվություն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պահանջող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բոլոր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շինարարական-մոնտաժային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աշխատանքները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այդ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թվում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վերակառուցման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)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ավարտելուց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առաջին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փուլի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մոնիթորինգի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դրական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եզրակացությունը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ստանալուց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հետո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15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աշխատանքային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օրվա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ընթացքում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փոխհատուցման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գումարի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30%-ի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չափով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ֆինանսական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ոչ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բավարար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միջոցների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դեպքում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40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աշխատանքային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օրվա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ընթացքում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)</w:t>
      </w:r>
    </w:p>
    <w:p w:rsidR="0051424F" w:rsidRPr="0051424F" w:rsidRDefault="0051424F" w:rsidP="0051424F">
      <w:pPr>
        <w:numPr>
          <w:ilvl w:val="0"/>
          <w:numId w:val="3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51424F">
        <w:rPr>
          <w:rFonts w:ascii="Segoe UI" w:eastAsia="Times New Roman" w:hAnsi="Segoe UI" w:cs="Segoe UI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>երկրորդ</w:t>
      </w:r>
      <w:proofErr w:type="spellEnd"/>
      <w:r w:rsidRPr="0051424F">
        <w:rPr>
          <w:rFonts w:ascii="Segoe UI" w:eastAsia="Times New Roman" w:hAnsi="Segoe UI" w:cs="Segoe UI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>փուլի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 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փոխհատուցումը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տրամադրվում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անասնաշենքը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տեխնոլոգիական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սարքերով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ապահովելուց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շահագործման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հանձնելուց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անասնաշենքում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նախատեսված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կենդանիների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գլխաքանակի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առնվազն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50%-ի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առկայության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երկրորդ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փուլի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մոնիթորինգի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դրական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եզրակացությունը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ստանալուց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հետո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15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lastRenderedPageBreak/>
        <w:t>աշխատանքային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օրվա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ընթացքում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փոխհատուցման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գումարի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40%-ի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չափով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ֆինանսական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ոչ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բավարար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միջոցների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դեպքում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40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աշխատանքային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օրվա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ընթացքում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)</w:t>
      </w:r>
    </w:p>
    <w:p w:rsidR="0051424F" w:rsidRPr="0051424F" w:rsidRDefault="0051424F" w:rsidP="0051424F">
      <w:pPr>
        <w:numPr>
          <w:ilvl w:val="0"/>
          <w:numId w:val="3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51424F">
        <w:rPr>
          <w:rFonts w:ascii="Segoe UI" w:eastAsia="Times New Roman" w:hAnsi="Segoe UI" w:cs="Segoe UI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>երրորդ</w:t>
      </w:r>
      <w:proofErr w:type="spellEnd"/>
      <w:r w:rsidRPr="0051424F">
        <w:rPr>
          <w:rFonts w:ascii="Segoe UI" w:eastAsia="Times New Roman" w:hAnsi="Segoe UI" w:cs="Segoe UI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>փուլի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 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փոխհատուցումը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տրամադրվում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երկրորդ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փուլի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փոխհատուցումը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ստանալուց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  1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տարվա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ընթացքում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երրորդ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փուլի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մոնիթորինգի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արդյունքում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անասնաշենքում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նախատեսված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կենդանիների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գլխաքանակի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առնվազն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90%-ի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առկայության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դեպքում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15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աշխատանքային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օրվա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ընթացքում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փոխհատուցման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գումարի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30 %-ը (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ֆինանսական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ոչ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բավարար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միջոցների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դեպքում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40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աշխատանքային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օրվա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ընթացքում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)</w:t>
      </w:r>
    </w:p>
    <w:p w:rsidR="0051424F" w:rsidRPr="0051424F" w:rsidRDefault="0051424F" w:rsidP="0051424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Բաղադրիչ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2.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Վարկերի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տոկոսադրույքների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մասնակի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սուբսիդավորում</w:t>
      </w:r>
      <w:proofErr w:type="spellEnd"/>
    </w:p>
    <w:p w:rsidR="0051424F" w:rsidRPr="0051424F" w:rsidRDefault="0051424F" w:rsidP="0051424F">
      <w:pPr>
        <w:numPr>
          <w:ilvl w:val="0"/>
          <w:numId w:val="4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Վարկի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առավելագույն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գումարը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պետք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համապատասխանի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1-ին, 2-րդ և 3-րդ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մոդելների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գնահատված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ծախսերին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, </w:t>
      </w:r>
    </w:p>
    <w:p w:rsidR="0051424F" w:rsidRPr="0051424F" w:rsidRDefault="0051424F" w:rsidP="0051424F">
      <w:pPr>
        <w:numPr>
          <w:ilvl w:val="0"/>
          <w:numId w:val="4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վարկի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տոկոսադրույքը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2%,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զինվորական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ծառայության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պարտականությունների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կատարման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ժամանակ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մարտական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հերթապահության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գործողությունների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իրականացման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արդյունքում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իրավաբանական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անձի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հաշմանդամ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դարձած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հիմնադրին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անհատ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ձեռնարկատիրոջը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Հայաստանի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Հանրապետության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կառավարության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2014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թվականի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դեկտեմբերի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18-ի N 1444-Ն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որոշմամբ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հաստատված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սահմանամերձ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բնակավայրերում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գործունեություն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իրականացնող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տնտեսավարողներին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ինչպես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նաև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գյուղատնտեսության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ոլորտում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գործունեություն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իրականացնող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կոոպերատիվներին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0%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տոկոսադրույքով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,</w:t>
      </w:r>
    </w:p>
    <w:p w:rsidR="0051424F" w:rsidRPr="0051424F" w:rsidRDefault="0051424F" w:rsidP="0051424F">
      <w:pPr>
        <w:numPr>
          <w:ilvl w:val="0"/>
          <w:numId w:val="4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վարկի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մարման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 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ժամկետը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մինչև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5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տարի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,</w:t>
      </w:r>
    </w:p>
    <w:p w:rsidR="0051424F" w:rsidRPr="0051424F" w:rsidRDefault="0051424F" w:rsidP="0051424F">
      <w:pPr>
        <w:numPr>
          <w:ilvl w:val="0"/>
          <w:numId w:val="4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մայր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գումարի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արտոնյալ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ժամկետը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մինչև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1,5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տարի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:</w:t>
      </w:r>
    </w:p>
    <w:p w:rsidR="0051424F" w:rsidRPr="0051424F" w:rsidRDefault="0051424F" w:rsidP="0051424F">
      <w:pPr>
        <w:shd w:val="clear" w:color="auto" w:fill="FEFEFE"/>
        <w:spacing w:after="150"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 </w:t>
      </w:r>
    </w:p>
    <w:p w:rsidR="0051424F" w:rsidRPr="0051424F" w:rsidRDefault="0051424F" w:rsidP="0051424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Դիմելու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կարգ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 </w:t>
      </w:r>
    </w:p>
    <w:p w:rsidR="0051424F" w:rsidRPr="0051424F" w:rsidRDefault="0051424F" w:rsidP="0051424F">
      <w:pPr>
        <w:shd w:val="clear" w:color="auto" w:fill="FEFEFE"/>
        <w:spacing w:after="150"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«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Խելացի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»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անասնաշենքերի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կառուցման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կամ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վերակառուցման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դրանց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տեխնոլոգիական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ապահովման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աջակցության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2025-2028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թվականների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ծրագրի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շահառու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կարող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են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հանդիսանալ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ծրագրին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մասնակցելու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ցանկություն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հայտնած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իրավաբանական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անձինք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համայնքները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(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եթե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տվյալ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ծրագիրը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նախատեսված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չէ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իրականացնել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սուբվենցիոն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ծրագրերով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) և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անհատ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ձեռնարկատերերը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(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այսուհետ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՝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շահառու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)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որոնք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՝</w:t>
      </w:r>
    </w:p>
    <w:p w:rsidR="0051424F" w:rsidRPr="0051424F" w:rsidRDefault="0051424F" w:rsidP="0051424F">
      <w:pPr>
        <w:numPr>
          <w:ilvl w:val="0"/>
          <w:numId w:val="5"/>
        </w:numPr>
        <w:shd w:val="clear" w:color="auto" w:fill="FEFEFE"/>
        <w:spacing w:after="0" w:line="240" w:lineRule="auto"/>
        <w:ind w:left="600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ունեն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վարկային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պատմության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վերաբերյալ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զեկույց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(ԱՔՌԱ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վարկային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բյուրոյի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կողմից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զեկույց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դիմումի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ներկայացման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օրվան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նախորդող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12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ամիսների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ընթացքում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չեն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ունեցել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գումարային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60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օր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ավելի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ժամկետով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ժամկետանց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վարկային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պարտավորություններ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),</w:t>
      </w:r>
    </w:p>
    <w:p w:rsidR="0051424F" w:rsidRPr="0051424F" w:rsidRDefault="0051424F" w:rsidP="0051424F">
      <w:pPr>
        <w:numPr>
          <w:ilvl w:val="0"/>
          <w:numId w:val="5"/>
        </w:numPr>
        <w:shd w:val="clear" w:color="auto" w:fill="FEFEFE"/>
        <w:spacing w:after="0" w:line="240" w:lineRule="auto"/>
        <w:ind w:left="600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ունեցել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հարկային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պատմություն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այսինքն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`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դիմումի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ներկայացման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օրվան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նախորդող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365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օրերի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ընթացքում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չունեն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հարկային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մարմնի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կողմից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վերահսկվող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եկամուտների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գծով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չկատարված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հարկային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պարտավորություններ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։</w:t>
      </w:r>
    </w:p>
    <w:p w:rsidR="0051424F" w:rsidRPr="0051424F" w:rsidRDefault="0051424F" w:rsidP="0051424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Ծրագիրն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իրականացվելու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է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երկու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բաղադրիչով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՝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ծախսերի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մասնակի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փոխհատուցման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և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վարկերի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տոկոսադրույքների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մասնակի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սուբսիդավորման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միջոցով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յուրաքանչյուր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շահառու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նույն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անասնաշենքի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կառուցման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կամ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վերակառուցման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և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դրանց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տեխնոլոգիական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ապահովման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նպատակով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կարող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է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օգտվել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ծրագրի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աջակցության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միայն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մեկ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բաղադրիչից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։</w:t>
      </w:r>
    </w:p>
    <w:p w:rsidR="0051424F" w:rsidRPr="0051424F" w:rsidRDefault="0051424F" w:rsidP="0051424F">
      <w:pPr>
        <w:shd w:val="clear" w:color="auto" w:fill="FEFEFE"/>
        <w:spacing w:after="150"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Ծրագրին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մասնակցության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գործընթացը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ծախսերի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մասնակի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փոխհատուցման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բաղադրիչով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տնտեսավարողը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պետք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նախարարություն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ներկայացնի</w:t>
      </w:r>
      <w:proofErr w:type="spellEnd"/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՝</w:t>
      </w:r>
    </w:p>
    <w:p w:rsidR="0051424F" w:rsidRPr="0051424F" w:rsidRDefault="0051424F" w:rsidP="0051424F">
      <w:pPr>
        <w:numPr>
          <w:ilvl w:val="0"/>
          <w:numId w:val="6"/>
        </w:numPr>
        <w:shd w:val="clear" w:color="auto" w:fill="FEFEFE"/>
        <w:spacing w:after="0" w:line="240" w:lineRule="auto"/>
        <w:ind w:left="600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էլեկտրոնային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դիմում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պարտադիր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նշելով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թե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ծրագրի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որ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բաղադրիչից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ցանկանում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br/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օգտվել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fldChar w:fldCharType="begin"/>
      </w:r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instrText xml:space="preserve"> HYPERLINK "https://mineconomy.am/media/33643/dimumi%20dzev.pdf" </w:instrText>
      </w:r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fldChar w:fldCharType="separate"/>
      </w:r>
      <w:r w:rsidRPr="0051424F">
        <w:rPr>
          <w:rFonts w:ascii="Segoe UI" w:eastAsia="Times New Roman" w:hAnsi="Segoe UI" w:cs="Segoe UI"/>
          <w:color w:val="337AB7"/>
          <w:sz w:val="24"/>
          <w:szCs w:val="24"/>
          <w:bdr w:val="none" w:sz="0" w:space="0" w:color="auto" w:frame="1"/>
          <w:lang w:eastAsia="ru-RU"/>
        </w:rPr>
        <w:t>դիմումի</w:t>
      </w:r>
      <w:proofErr w:type="spellEnd"/>
      <w:r w:rsidRPr="0051424F">
        <w:rPr>
          <w:rFonts w:ascii="Segoe UI" w:eastAsia="Times New Roman" w:hAnsi="Segoe UI" w:cs="Segoe UI"/>
          <w:color w:val="337AB7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337AB7"/>
          <w:sz w:val="24"/>
          <w:szCs w:val="24"/>
          <w:bdr w:val="none" w:sz="0" w:space="0" w:color="auto" w:frame="1"/>
          <w:lang w:eastAsia="ru-RU"/>
        </w:rPr>
        <w:t>ձևը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fldChar w:fldCharType="end"/>
      </w:r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 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մշակում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նախարարությունը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ծրագրի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հաստատվելուց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հետո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lastRenderedPageBreak/>
        <w:t>մեկամսյա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ժամկետում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հրապարակում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նախարարության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պաշտոնական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կայքում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դիմումներն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ընդունվում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 </w:t>
      </w:r>
      <w:proofErr w:type="spellStart"/>
      <w:r w:rsidRPr="0051424F">
        <w:rPr>
          <w:rFonts w:ascii="Segoe UI" w:eastAsia="Times New Roman" w:hAnsi="Segoe UI" w:cs="Segoe UI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>մինչև</w:t>
      </w:r>
      <w:proofErr w:type="spellEnd"/>
      <w:r w:rsidRPr="0051424F">
        <w:rPr>
          <w:rFonts w:ascii="Segoe UI" w:eastAsia="Times New Roman" w:hAnsi="Segoe UI" w:cs="Segoe UI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 xml:space="preserve"> 2028 </w:t>
      </w:r>
      <w:proofErr w:type="spellStart"/>
      <w:r w:rsidRPr="0051424F">
        <w:rPr>
          <w:rFonts w:ascii="Segoe UI" w:eastAsia="Times New Roman" w:hAnsi="Segoe UI" w:cs="Segoe UI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>թվականի</w:t>
      </w:r>
      <w:proofErr w:type="spellEnd"/>
      <w:r w:rsidRPr="0051424F">
        <w:rPr>
          <w:rFonts w:ascii="Segoe UI" w:eastAsia="Times New Roman" w:hAnsi="Segoe UI" w:cs="Segoe UI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>նոյեմբերի</w:t>
      </w:r>
      <w:proofErr w:type="spellEnd"/>
      <w:r w:rsidRPr="0051424F">
        <w:rPr>
          <w:rFonts w:ascii="Segoe UI" w:eastAsia="Times New Roman" w:hAnsi="Segoe UI" w:cs="Segoe UI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 xml:space="preserve"> 1-ը</w:t>
      </w:r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)</w:t>
      </w:r>
    </w:p>
    <w:p w:rsidR="0051424F" w:rsidRPr="0051424F" w:rsidRDefault="0051424F" w:rsidP="0051424F">
      <w:pPr>
        <w:numPr>
          <w:ilvl w:val="0"/>
          <w:numId w:val="6"/>
        </w:numPr>
        <w:shd w:val="clear" w:color="auto" w:fill="FEFEFE"/>
        <w:spacing w:after="0" w:line="240" w:lineRule="auto"/>
        <w:ind w:left="600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պետական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ռեգիստրի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վկայականը</w:t>
      </w:r>
      <w:proofErr w:type="spellEnd"/>
    </w:p>
    <w:p w:rsidR="0051424F" w:rsidRPr="0051424F" w:rsidRDefault="0051424F" w:rsidP="0051424F">
      <w:pPr>
        <w:numPr>
          <w:ilvl w:val="0"/>
          <w:numId w:val="6"/>
        </w:numPr>
        <w:shd w:val="clear" w:color="auto" w:fill="FEFEFE"/>
        <w:spacing w:after="0" w:line="240" w:lineRule="auto"/>
        <w:ind w:left="600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անշարժ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գույքի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նկատմամբ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սեփականության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իրավունքի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վկայականի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պատճենը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br/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եթե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անշարժ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գույքի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նկատմամբ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գրանցված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իրավունքն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ընդհանուր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համատեղ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ընդհանուր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բաժնային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սեփականություն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է,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ապա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ներկայացնում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նաև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անշարժ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գույքի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համասեփականատերերի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համաձայնությունը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նոտարական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վավերացմամբ</w:t>
      </w:r>
      <w:proofErr w:type="spellEnd"/>
    </w:p>
    <w:p w:rsidR="0051424F" w:rsidRPr="0051424F" w:rsidRDefault="0051424F" w:rsidP="0051424F">
      <w:pPr>
        <w:numPr>
          <w:ilvl w:val="0"/>
          <w:numId w:val="6"/>
        </w:numPr>
        <w:shd w:val="clear" w:color="auto" w:fill="FEFEFE"/>
        <w:spacing w:after="0" w:line="240" w:lineRule="auto"/>
        <w:ind w:left="600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վերակառուցման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դեպքում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նաև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վերակառուցվող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անշարժ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գույքի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լուսանկարները</w:t>
      </w:r>
      <w:proofErr w:type="spellEnd"/>
    </w:p>
    <w:p w:rsidR="0051424F" w:rsidRPr="0051424F" w:rsidRDefault="0051424F" w:rsidP="0051424F">
      <w:pPr>
        <w:numPr>
          <w:ilvl w:val="0"/>
          <w:numId w:val="6"/>
        </w:numPr>
        <w:shd w:val="clear" w:color="auto" w:fill="FEFEFE"/>
        <w:spacing w:after="0" w:line="240" w:lineRule="auto"/>
        <w:ind w:left="600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վարկային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պատմության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վերաբերյալ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զեկույց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(ԱՔՌԱ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վարկային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բյուրոյի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կողմից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զեկույց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)</w:t>
      </w:r>
    </w:p>
    <w:p w:rsidR="0051424F" w:rsidRPr="0051424F" w:rsidRDefault="0051424F" w:rsidP="0051424F">
      <w:pPr>
        <w:numPr>
          <w:ilvl w:val="0"/>
          <w:numId w:val="6"/>
        </w:numPr>
        <w:shd w:val="clear" w:color="auto" w:fill="FEFEFE"/>
        <w:spacing w:after="0" w:line="240" w:lineRule="auto"/>
        <w:ind w:left="600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հարկային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մարմնի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կողմից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վերահսկվող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եկամուտների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գծով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հարկային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պարտավորությունների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վերաբերյալ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տեղեկանք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։</w:t>
      </w:r>
    </w:p>
    <w:p w:rsidR="0051424F" w:rsidRPr="0051424F" w:rsidRDefault="0051424F" w:rsidP="0051424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br/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Ծրագրին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մասնակցության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գործընթացը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վարկերի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տոկոսադրույքների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մասնակի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սուբսիդավորման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բաղադրիչով</w:t>
      </w:r>
      <w:proofErr w:type="spellEnd"/>
      <w:r w:rsidRPr="0051424F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՝</w:t>
      </w:r>
    </w:p>
    <w:p w:rsidR="0051424F" w:rsidRPr="0051424F" w:rsidRDefault="0051424F" w:rsidP="0051424F">
      <w:pPr>
        <w:numPr>
          <w:ilvl w:val="0"/>
          <w:numId w:val="7"/>
        </w:numPr>
        <w:shd w:val="clear" w:color="auto" w:fill="FEFEFE"/>
        <w:spacing w:after="0" w:line="240" w:lineRule="auto"/>
        <w:ind w:left="600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ծրագրին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մասնակցելու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նպատակով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տնտեսավարողը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դիմում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ծրագրին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մասնակից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 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ֆինանսական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կառույցներին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վարկունակության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բավարար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մակարդակը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ճշգրտելու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նպատակով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.</w:t>
      </w:r>
    </w:p>
    <w:p w:rsidR="0051424F" w:rsidRPr="0051424F" w:rsidRDefault="0051424F" w:rsidP="0051424F">
      <w:pPr>
        <w:numPr>
          <w:ilvl w:val="0"/>
          <w:numId w:val="7"/>
        </w:numPr>
        <w:shd w:val="clear" w:color="auto" w:fill="FEFEFE"/>
        <w:spacing w:after="0" w:line="240" w:lineRule="auto"/>
        <w:ind w:left="600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ֆինանսական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կառույցի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վարկունակության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պահանջները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բավարարելու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դեպքում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 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տնտեսավարողը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պետք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նախարարություն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ներկայացնի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՝</w:t>
      </w:r>
    </w:p>
    <w:p w:rsidR="0051424F" w:rsidRPr="0051424F" w:rsidRDefault="0051424F" w:rsidP="0051424F">
      <w:pPr>
        <w:numPr>
          <w:ilvl w:val="0"/>
          <w:numId w:val="8"/>
        </w:numPr>
        <w:shd w:val="clear" w:color="auto" w:fill="FEFEFE"/>
        <w:spacing w:after="0" w:line="240" w:lineRule="auto"/>
        <w:ind w:left="600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էլեկտրոնային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դիմում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fldChar w:fldCharType="begin"/>
      </w:r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instrText xml:space="preserve"> HYPERLINK "https://mineconomy.am/media/33643/dimumi%20dzev.pdf" </w:instrText>
      </w:r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fldChar w:fldCharType="separate"/>
      </w:r>
      <w:r w:rsidRPr="0051424F">
        <w:rPr>
          <w:rFonts w:ascii="Segoe UI" w:eastAsia="Times New Roman" w:hAnsi="Segoe UI" w:cs="Segoe UI"/>
          <w:color w:val="337AB7"/>
          <w:sz w:val="24"/>
          <w:szCs w:val="24"/>
          <w:bdr w:val="none" w:sz="0" w:space="0" w:color="auto" w:frame="1"/>
          <w:lang w:eastAsia="ru-RU"/>
        </w:rPr>
        <w:t>դիմումի</w:t>
      </w:r>
      <w:proofErr w:type="spellEnd"/>
      <w:r w:rsidRPr="0051424F">
        <w:rPr>
          <w:rFonts w:ascii="Segoe UI" w:eastAsia="Times New Roman" w:hAnsi="Segoe UI" w:cs="Segoe UI"/>
          <w:color w:val="337AB7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337AB7"/>
          <w:sz w:val="24"/>
          <w:szCs w:val="24"/>
          <w:bdr w:val="none" w:sz="0" w:space="0" w:color="auto" w:frame="1"/>
          <w:lang w:eastAsia="ru-RU"/>
        </w:rPr>
        <w:t>ձևը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fldChar w:fldCharType="end"/>
      </w:r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 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հաստատվում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Հայաստանի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Հանրապետության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 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էկոնոմիկայի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նախարարի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 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fldChar w:fldCharType="begin"/>
      </w:r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instrText xml:space="preserve"> HYPERLINK "https://mineconomy.am/media/33644/HRAMAN.pdf" </w:instrText>
      </w:r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fldChar w:fldCharType="separate"/>
      </w:r>
      <w:r w:rsidRPr="0051424F">
        <w:rPr>
          <w:rFonts w:ascii="Segoe UI" w:eastAsia="Times New Roman" w:hAnsi="Segoe UI" w:cs="Segoe UI"/>
          <w:color w:val="337AB7"/>
          <w:sz w:val="24"/>
          <w:szCs w:val="24"/>
          <w:bdr w:val="none" w:sz="0" w:space="0" w:color="auto" w:frame="1"/>
          <w:lang w:eastAsia="ru-RU"/>
        </w:rPr>
        <w:t>հրամանով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fldChar w:fldCharType="end"/>
      </w:r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 և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ծրագրի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հաստատվելուց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հետո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1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ամսվա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ընթացքում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հրապարակվում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նախարարության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պաշտոնական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կայքում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դիմումներն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ընդունվում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 </w:t>
      </w:r>
      <w:proofErr w:type="spellStart"/>
      <w:r w:rsidRPr="0051424F">
        <w:rPr>
          <w:rFonts w:ascii="Segoe UI" w:eastAsia="Times New Roman" w:hAnsi="Segoe UI" w:cs="Segoe UI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>մինչև</w:t>
      </w:r>
      <w:proofErr w:type="spellEnd"/>
      <w:r w:rsidRPr="0051424F">
        <w:rPr>
          <w:rFonts w:ascii="Segoe UI" w:eastAsia="Times New Roman" w:hAnsi="Segoe UI" w:cs="Segoe UI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 xml:space="preserve"> 2028 </w:t>
      </w:r>
      <w:proofErr w:type="spellStart"/>
      <w:r w:rsidRPr="0051424F">
        <w:rPr>
          <w:rFonts w:ascii="Segoe UI" w:eastAsia="Times New Roman" w:hAnsi="Segoe UI" w:cs="Segoe UI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>թվականի</w:t>
      </w:r>
      <w:proofErr w:type="spellEnd"/>
      <w:r w:rsidRPr="0051424F">
        <w:rPr>
          <w:rFonts w:ascii="Segoe UI" w:eastAsia="Times New Roman" w:hAnsi="Segoe UI" w:cs="Segoe UI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>նոյեմբերի</w:t>
      </w:r>
      <w:proofErr w:type="spellEnd"/>
      <w:r w:rsidRPr="0051424F">
        <w:rPr>
          <w:rFonts w:ascii="Segoe UI" w:eastAsia="Times New Roman" w:hAnsi="Segoe UI" w:cs="Segoe UI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 xml:space="preserve"> 1-ը</w:t>
      </w:r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),</w:t>
      </w:r>
    </w:p>
    <w:p w:rsidR="0051424F" w:rsidRPr="0051424F" w:rsidRDefault="0051424F" w:rsidP="0051424F">
      <w:pPr>
        <w:numPr>
          <w:ilvl w:val="0"/>
          <w:numId w:val="8"/>
        </w:numPr>
        <w:shd w:val="clear" w:color="auto" w:fill="FEFEFE"/>
        <w:spacing w:after="0" w:line="240" w:lineRule="auto"/>
        <w:ind w:left="600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պետական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ռեգիստրի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վկայականը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,</w:t>
      </w:r>
    </w:p>
    <w:p w:rsidR="0051424F" w:rsidRPr="0051424F" w:rsidRDefault="0051424F" w:rsidP="0051424F">
      <w:pPr>
        <w:numPr>
          <w:ilvl w:val="0"/>
          <w:numId w:val="8"/>
        </w:numPr>
        <w:shd w:val="clear" w:color="auto" w:fill="FEFEFE"/>
        <w:spacing w:after="0" w:line="240" w:lineRule="auto"/>
        <w:ind w:left="600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անշարժ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գույքի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նկատմամբ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սեփականության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իրավունքի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վկայականի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պատճենը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,</w:t>
      </w:r>
    </w:p>
    <w:p w:rsidR="0051424F" w:rsidRPr="0051424F" w:rsidRDefault="0051424F" w:rsidP="0051424F">
      <w:pPr>
        <w:numPr>
          <w:ilvl w:val="0"/>
          <w:numId w:val="8"/>
        </w:numPr>
        <w:shd w:val="clear" w:color="auto" w:fill="FEFEFE"/>
        <w:spacing w:after="0" w:line="240" w:lineRule="auto"/>
        <w:ind w:left="600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եթե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անշարժ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գույքի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նկատմամբ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գրանցված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իրավունքն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ընդհանուր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համատեղ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 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ընդհանուր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բաժնային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սեփականություն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է,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ապա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ներկայացնում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նաև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անշարժ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գույքի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համասեփականատերերի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համաձայնությունը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նոտարական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վավերացմամբ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,</w:t>
      </w:r>
    </w:p>
    <w:p w:rsidR="0051424F" w:rsidRPr="0051424F" w:rsidRDefault="0051424F" w:rsidP="0051424F">
      <w:pPr>
        <w:numPr>
          <w:ilvl w:val="0"/>
          <w:numId w:val="8"/>
        </w:numPr>
        <w:shd w:val="clear" w:color="auto" w:fill="FEFEFE"/>
        <w:spacing w:after="0" w:line="240" w:lineRule="auto"/>
        <w:ind w:left="600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վերակառուցման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դեպքում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նաև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վերակառուցվող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անշարժ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գույքի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լուսանկարները</w:t>
      </w:r>
      <w:proofErr w:type="spellEnd"/>
      <w:r w:rsidRPr="0051424F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։</w:t>
      </w:r>
    </w:p>
    <w:p w:rsidR="0051424F" w:rsidRPr="0051424F" w:rsidRDefault="0051424F" w:rsidP="0051424F">
      <w:pPr>
        <w:shd w:val="clear" w:color="auto" w:fill="FEFEFE"/>
        <w:spacing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r w:rsidRPr="0051424F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br/>
        <w:t> </w:t>
      </w:r>
      <w:proofErr w:type="spellStart"/>
      <w:r w:rsidRPr="0051424F">
        <w:rPr>
          <w:rFonts w:ascii="Segoe UI" w:eastAsia="Times New Roman" w:hAnsi="Segoe UI" w:cs="Segoe UI"/>
          <w:b/>
          <w:bCs/>
          <w:i/>
          <w:iCs/>
          <w:color w:val="0A0A0A"/>
          <w:sz w:val="24"/>
          <w:szCs w:val="24"/>
          <w:bdr w:val="none" w:sz="0" w:space="0" w:color="auto" w:frame="1"/>
          <w:lang w:eastAsia="ru-RU"/>
        </w:rPr>
        <w:t>Ծրագրի</w:t>
      </w:r>
      <w:proofErr w:type="spellEnd"/>
      <w:r w:rsidRPr="0051424F">
        <w:rPr>
          <w:rFonts w:ascii="Segoe UI" w:eastAsia="Times New Roman" w:hAnsi="Segoe UI" w:cs="Segoe UI"/>
          <w:b/>
          <w:bCs/>
          <w:i/>
          <w:i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i/>
          <w:iCs/>
          <w:color w:val="0A0A0A"/>
          <w:sz w:val="24"/>
          <w:szCs w:val="24"/>
          <w:bdr w:val="none" w:sz="0" w:space="0" w:color="auto" w:frame="1"/>
          <w:lang w:eastAsia="ru-RU"/>
        </w:rPr>
        <w:t>մանրամասներին</w:t>
      </w:r>
      <w:proofErr w:type="spellEnd"/>
      <w:r w:rsidRPr="0051424F">
        <w:rPr>
          <w:rFonts w:ascii="Segoe UI" w:eastAsia="Times New Roman" w:hAnsi="Segoe UI" w:cs="Segoe UI"/>
          <w:b/>
          <w:bCs/>
          <w:i/>
          <w:i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i/>
          <w:iCs/>
          <w:color w:val="0A0A0A"/>
          <w:sz w:val="24"/>
          <w:szCs w:val="24"/>
          <w:bdr w:val="none" w:sz="0" w:space="0" w:color="auto" w:frame="1"/>
          <w:lang w:eastAsia="ru-RU"/>
        </w:rPr>
        <w:t>կարող</w:t>
      </w:r>
      <w:proofErr w:type="spellEnd"/>
      <w:r w:rsidRPr="0051424F">
        <w:rPr>
          <w:rFonts w:ascii="Segoe UI" w:eastAsia="Times New Roman" w:hAnsi="Segoe UI" w:cs="Segoe UI"/>
          <w:b/>
          <w:bCs/>
          <w:i/>
          <w:i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i/>
          <w:iCs/>
          <w:color w:val="0A0A0A"/>
          <w:sz w:val="24"/>
          <w:szCs w:val="24"/>
          <w:bdr w:val="none" w:sz="0" w:space="0" w:color="auto" w:frame="1"/>
          <w:lang w:eastAsia="ru-RU"/>
        </w:rPr>
        <w:t>եք</w:t>
      </w:r>
      <w:proofErr w:type="spellEnd"/>
      <w:r w:rsidRPr="0051424F">
        <w:rPr>
          <w:rFonts w:ascii="Segoe UI" w:eastAsia="Times New Roman" w:hAnsi="Segoe UI" w:cs="Segoe UI"/>
          <w:b/>
          <w:bCs/>
          <w:i/>
          <w:i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24F">
        <w:rPr>
          <w:rFonts w:ascii="Segoe UI" w:eastAsia="Times New Roman" w:hAnsi="Segoe UI" w:cs="Segoe UI"/>
          <w:b/>
          <w:bCs/>
          <w:i/>
          <w:iCs/>
          <w:color w:val="0A0A0A"/>
          <w:sz w:val="24"/>
          <w:szCs w:val="24"/>
          <w:bdr w:val="none" w:sz="0" w:space="0" w:color="auto" w:frame="1"/>
          <w:lang w:eastAsia="ru-RU"/>
        </w:rPr>
        <w:t>ծանոթանալ</w:t>
      </w:r>
      <w:proofErr w:type="spellEnd"/>
      <w:r w:rsidRPr="0051424F">
        <w:rPr>
          <w:rFonts w:ascii="Segoe UI" w:eastAsia="Times New Roman" w:hAnsi="Segoe UI" w:cs="Segoe UI"/>
          <w:b/>
          <w:bCs/>
          <w:i/>
          <w:iCs/>
          <w:color w:val="0A0A0A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51424F">
        <w:rPr>
          <w:rFonts w:ascii="Segoe UI" w:eastAsia="Times New Roman" w:hAnsi="Segoe UI" w:cs="Segoe UI"/>
          <w:b/>
          <w:bCs/>
          <w:i/>
          <w:iCs/>
          <w:color w:val="0A0A0A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51424F">
        <w:rPr>
          <w:rFonts w:ascii="Segoe UI" w:eastAsia="Times New Roman" w:hAnsi="Segoe UI" w:cs="Segoe UI"/>
          <w:b/>
          <w:bCs/>
          <w:i/>
          <w:iCs/>
          <w:color w:val="0A0A0A"/>
          <w:sz w:val="24"/>
          <w:szCs w:val="24"/>
          <w:bdr w:val="none" w:sz="0" w:space="0" w:color="auto" w:frame="1"/>
          <w:lang w:eastAsia="ru-RU"/>
        </w:rPr>
        <w:instrText xml:space="preserve"> HYPERLINK "https://mineconomy.am/media/33593/419.1%20%28Xelaci.pdf" </w:instrText>
      </w:r>
      <w:r w:rsidRPr="0051424F">
        <w:rPr>
          <w:rFonts w:ascii="Segoe UI" w:eastAsia="Times New Roman" w:hAnsi="Segoe UI" w:cs="Segoe UI"/>
          <w:b/>
          <w:bCs/>
          <w:i/>
          <w:iCs/>
          <w:color w:val="0A0A0A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51424F">
        <w:rPr>
          <w:rFonts w:ascii="Segoe UI" w:eastAsia="Times New Roman" w:hAnsi="Segoe UI" w:cs="Segoe UI"/>
          <w:b/>
          <w:bCs/>
          <w:i/>
          <w:iCs/>
          <w:color w:val="337AB7"/>
          <w:sz w:val="24"/>
          <w:szCs w:val="24"/>
          <w:bdr w:val="none" w:sz="0" w:space="0" w:color="auto" w:frame="1"/>
          <w:lang w:eastAsia="ru-RU"/>
        </w:rPr>
        <w:t>այստեղ</w:t>
      </w:r>
      <w:proofErr w:type="spellEnd"/>
      <w:r w:rsidRPr="0051424F">
        <w:rPr>
          <w:rFonts w:ascii="Segoe UI" w:eastAsia="Times New Roman" w:hAnsi="Segoe UI" w:cs="Segoe UI"/>
          <w:b/>
          <w:bCs/>
          <w:i/>
          <w:iCs/>
          <w:color w:val="0A0A0A"/>
          <w:sz w:val="24"/>
          <w:szCs w:val="24"/>
          <w:bdr w:val="none" w:sz="0" w:space="0" w:color="auto" w:frame="1"/>
          <w:lang w:eastAsia="ru-RU"/>
        </w:rPr>
        <w:fldChar w:fldCharType="end"/>
      </w:r>
    </w:p>
    <w:p w:rsidR="00114C62" w:rsidRDefault="00114C62"/>
    <w:sectPr w:rsidR="00114C62" w:rsidSect="0051424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4D4A"/>
    <w:multiLevelType w:val="multilevel"/>
    <w:tmpl w:val="8FE6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EA2272"/>
    <w:multiLevelType w:val="multilevel"/>
    <w:tmpl w:val="52AC0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21D72"/>
    <w:multiLevelType w:val="multilevel"/>
    <w:tmpl w:val="889E7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EB38B5"/>
    <w:multiLevelType w:val="multilevel"/>
    <w:tmpl w:val="6C1E4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B9073B"/>
    <w:multiLevelType w:val="multilevel"/>
    <w:tmpl w:val="0D0E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C10D8D"/>
    <w:multiLevelType w:val="multilevel"/>
    <w:tmpl w:val="1E366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663EA4"/>
    <w:multiLevelType w:val="multilevel"/>
    <w:tmpl w:val="A03C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B204C97"/>
    <w:multiLevelType w:val="multilevel"/>
    <w:tmpl w:val="0730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4F"/>
    <w:rsid w:val="00114C62"/>
    <w:rsid w:val="0051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424F"/>
    <w:rPr>
      <w:b/>
      <w:bCs/>
    </w:rPr>
  </w:style>
  <w:style w:type="character" w:styleId="a5">
    <w:name w:val="Hyperlink"/>
    <w:basedOn w:val="a0"/>
    <w:uiPriority w:val="99"/>
    <w:semiHidden/>
    <w:unhideWhenUsed/>
    <w:rsid w:val="0051424F"/>
    <w:rPr>
      <w:color w:val="0000FF"/>
      <w:u w:val="single"/>
    </w:rPr>
  </w:style>
  <w:style w:type="character" w:styleId="a6">
    <w:name w:val="Emphasis"/>
    <w:basedOn w:val="a0"/>
    <w:uiPriority w:val="20"/>
    <w:qFormat/>
    <w:rsid w:val="005142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424F"/>
    <w:rPr>
      <w:b/>
      <w:bCs/>
    </w:rPr>
  </w:style>
  <w:style w:type="character" w:styleId="a5">
    <w:name w:val="Hyperlink"/>
    <w:basedOn w:val="a0"/>
    <w:uiPriority w:val="99"/>
    <w:semiHidden/>
    <w:unhideWhenUsed/>
    <w:rsid w:val="0051424F"/>
    <w:rPr>
      <w:color w:val="0000FF"/>
      <w:u w:val="single"/>
    </w:rPr>
  </w:style>
  <w:style w:type="character" w:styleId="a6">
    <w:name w:val="Emphasis"/>
    <w:basedOn w:val="a0"/>
    <w:uiPriority w:val="20"/>
    <w:qFormat/>
    <w:rsid w:val="005142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2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31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79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ineconomy.am/media/33136/40-4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economy.am/media/33135/20-27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1550</Words>
  <Characters>8838</Characters>
  <Application>Microsoft Office Word</Application>
  <DocSecurity>0</DocSecurity>
  <Lines>73</Lines>
  <Paragraphs>20</Paragraphs>
  <ScaleCrop>false</ScaleCrop>
  <Company>HP Inc.</Company>
  <LinksUpToDate>false</LinksUpToDate>
  <CharactersWithSpaces>10368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2025-05-26T12:38:00Z</dcterms:created>
  <dcterms:modified xsi:type="dcterms:W3CDTF">2025-05-26T12:39:00Z</dcterms:modified>
</cp:coreProperties>
</file>