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E3" w:rsidRPr="002A71E3" w:rsidRDefault="002A71E3" w:rsidP="002A71E3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0A0A0A"/>
          <w:sz w:val="18"/>
          <w:szCs w:val="24"/>
          <w:lang w:eastAsia="ru-RU"/>
        </w:rPr>
      </w:pPr>
      <w:bookmarkStart w:id="0" w:name="_GoBack"/>
      <w:proofErr w:type="spellStart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>Սպանդանոցային</w:t>
      </w:r>
      <w:proofErr w:type="spellEnd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>ծառայություն</w:t>
      </w:r>
      <w:proofErr w:type="spellEnd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>մատուցող</w:t>
      </w:r>
      <w:proofErr w:type="spellEnd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>տնտեսավարողների</w:t>
      </w:r>
      <w:proofErr w:type="spellEnd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526285"/>
          <w:sz w:val="28"/>
          <w:szCs w:val="38"/>
          <w:bdr w:val="none" w:sz="0" w:space="0" w:color="auto" w:frame="1"/>
          <w:lang w:eastAsia="ru-RU"/>
        </w:rPr>
        <w:t>ծրագիր</w:t>
      </w:r>
      <w:proofErr w:type="spellEnd"/>
    </w:p>
    <w:bookmarkEnd w:id="0"/>
    <w:p w:rsidR="002A71E3" w:rsidRPr="002A71E3" w:rsidRDefault="002A71E3" w:rsidP="002A71E3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A0A0A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ineconomy.am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mineconomy.am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D56wIAAOcF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XKFD56wIAAO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Սպանդանոցային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ծառայություն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մատուցող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սպանդանոցային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սպանդը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խրախուսելու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ավելացված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արժեքի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հարկ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այսուհետ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ԱԱՀ)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վճարող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համարվող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կազմակերպությունների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անհատ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ձեռնարկատերերի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այսուհետ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` ԱԱՀ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վճարող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համարվողների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հավասար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մրցակցային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պայմաններ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ստեղծելու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ազգաբնակչությանը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որակյալ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անվտանգ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մսեղիքի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մատակարարումներ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ապահովելու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տրամադրումն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է։</w:t>
      </w:r>
    </w:p>
    <w:p w:rsidR="002A71E3" w:rsidRPr="002A71E3" w:rsidRDefault="002A71E3" w:rsidP="002A71E3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Ծրագրից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կարող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օգտվել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այն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տնտեսավարողը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որը</w:t>
      </w:r>
      <w:proofErr w:type="spellEnd"/>
      <w:r w:rsidRPr="002A71E3">
        <w:rPr>
          <w:rFonts w:ascii="Cambria Math" w:eastAsia="Times New Roman" w:hAnsi="Cambria Math" w:cs="Cambria Math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․</w:t>
      </w:r>
    </w:p>
    <w:p w:rsidR="002A71E3" w:rsidRPr="002A71E3" w:rsidRDefault="002A71E3" w:rsidP="002A71E3">
      <w:pPr>
        <w:numPr>
          <w:ilvl w:val="0"/>
          <w:numId w:val="1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իրականացնում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ֆերմերային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տնտեսությունից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ֆիզիկական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անձից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խոշոր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եղջերավոր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կենդանիների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գնումներ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սպանդանոցային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սպանդ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մսեղիքի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իրացման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գործառույթներ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.</w:t>
      </w:r>
    </w:p>
    <w:p w:rsidR="002A71E3" w:rsidRPr="002A71E3" w:rsidRDefault="002A71E3" w:rsidP="002A71E3">
      <w:pPr>
        <w:numPr>
          <w:ilvl w:val="0"/>
          <w:numId w:val="1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տրամադրման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նպատակով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Հայաստանի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Հանրապետության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էկոնոմիկայի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նախարարություն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այսուհետ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նախարարություն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դիմումի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օրվան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նախորդող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աշխատանքային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օրվա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դրությամբ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չունի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հարկային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մարմնի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կողմից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վերահսկվող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եկամուտների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մասով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չկատարված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պարտավորություններ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դիմումի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պահին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նախորդող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12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ամիսների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իսկ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12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ամսից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պակաս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ժամկետով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ԱԱՀ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վճարող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համարվելու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դեպքում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այդ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ամիսների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ներկայացրել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է ԱԱՀ-ի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ակցիզային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հարկի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միասնական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հաշվարկներ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։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շրջանակներում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 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2027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թվականի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դեկտեմբերի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30-ը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տրամադրվում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հաշվետու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ժամանակաշրջանում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սպանդանոցային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գործունեության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արդյունքում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խոշոր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եղջերավոր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կենդանիների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սպանդից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ստացված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մսեղիքի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իրացման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՝ ԱԱՀ-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հարկման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օբյեկտ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համարվող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գործարքների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հարկման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բազայի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նկատմամբ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հաշվարկված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ԱԱՀ-ի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գումարների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խոշոր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եղջերավոր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կենդանիների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ձեռքբերման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ԱԱՀ-ի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հաշվանցվող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պակասեցվող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գումարների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դրական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տարբերության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75%-ի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չափով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2A71E3" w:rsidRPr="002A71E3" w:rsidRDefault="002A71E3" w:rsidP="002A71E3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տրամադրման</w:t>
      </w:r>
      <w:proofErr w:type="spellEnd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ընթացակարգը</w:t>
      </w:r>
      <w:proofErr w:type="spellEnd"/>
      <w:r w:rsidRPr="002A71E3">
        <w:rPr>
          <w:rFonts w:ascii="Cambria Math" w:eastAsia="Times New Roman" w:hAnsi="Cambria Math" w:cs="Cambria Math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․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տրամադրման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գործընթացը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նախաձեռնում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աջակցությունը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ստանալու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N 1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ձևին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համապատասխան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էլեկտրոնային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թղթային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տարբերակով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գրությամբ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կցում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է՝</w:t>
      </w:r>
    </w:p>
    <w:p w:rsidR="002A71E3" w:rsidRPr="002A71E3" w:rsidRDefault="002A71E3" w:rsidP="002A71E3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N 1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ձևին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համապատասխան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առաջին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begin"/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instrText xml:space="preserve"> HYPERLINK "https://mineconomy.am/media/33539/1dimum-spand.docx" </w:instrText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separate"/>
      </w:r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դիմումի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end"/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ամսին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նախորդող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3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ամիսների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իսկ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հաջորդ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դիմումների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դեպքում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դիմումի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ամսին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նախորդող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ամսվա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ընթացքում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խոշոր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եղջերավոր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կենդանիների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գնման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ստացված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հարկային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հաշիվների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հաշիվ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վավերագրերի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ֆիզիկական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անձանցից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ձեռք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բերվող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ապրանքների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մասով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օրենսդրությամբ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սահմանված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կարգով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կազմվող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հաշվարկային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փաստաթուղթ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չհամարվող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այլ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փաստաթղթերի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հիման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վրա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կազմված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begin"/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instrText xml:space="preserve"> HYPERLINK "https://mineconomy.am/media/33538/2Texekanq-spand.docx" </w:instrText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separate"/>
      </w:r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տեղեկանքը</w:t>
      </w:r>
      <w:proofErr w:type="spellEnd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 xml:space="preserve">՝ </w:t>
      </w:r>
      <w:proofErr w:type="spellStart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 xml:space="preserve"> N 2 </w:t>
      </w:r>
      <w:proofErr w:type="spellStart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ձևին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end"/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համապատասխան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.</w:t>
      </w:r>
    </w:p>
    <w:p w:rsidR="002A71E3" w:rsidRPr="002A71E3" w:rsidRDefault="002A71E3" w:rsidP="002A71E3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N 1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ձևին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համապատասխան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դիմումի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ամսին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նախորդող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ամսվա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ընթացքում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խոշոր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եղջերավոր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կենդանիների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սպանդից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ստացված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մսեղիքի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իրացման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հարկային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հաշիվների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հիման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վրա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կազմված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begin"/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instrText xml:space="preserve"> HYPERLINK "https://mineconomy.am/media/33537/3Texekanq-spand.docx" </w:instrText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separate"/>
      </w:r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տեղեկանքը</w:t>
      </w:r>
      <w:proofErr w:type="spellEnd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 xml:space="preserve">՝ </w:t>
      </w:r>
      <w:proofErr w:type="spellStart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 xml:space="preserve"> N 3 </w:t>
      </w:r>
      <w:proofErr w:type="spellStart"/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ձևին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fldChar w:fldCharType="end"/>
      </w:r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համապատասխան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.</w:t>
      </w:r>
    </w:p>
    <w:p w:rsidR="002A71E3" w:rsidRPr="002A71E3" w:rsidRDefault="002A71E3" w:rsidP="002A71E3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lastRenderedPageBreak/>
        <w:t>տեղեկատվություն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տնտեսավարողի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հիմնադիր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ավելի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քան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10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տոկոս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բաժնետոմս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ունեցող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բաժնետեր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հանդիսացող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անձանց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անվանումները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նրանց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ընտանիքի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անդամների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ծնող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ամուսին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զավակ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անունների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ազգանունների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մասին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.</w:t>
      </w:r>
    </w:p>
    <w:p w:rsidR="002A71E3" w:rsidRPr="002A71E3" w:rsidRDefault="002A71E3" w:rsidP="002A71E3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խոշոր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եղջերավոր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կենդանիների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տեղափոխման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N 1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ձևի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անասնաբուժական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վկայականների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պատճենները</w:t>
      </w:r>
      <w:proofErr w:type="spellEnd"/>
      <w:r w:rsidRPr="002A71E3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։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ստացման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N 1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ձևին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համապատասխան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գործունեության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տվյալ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ամսվան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հաջորդող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ամսվա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վերջին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ներառյալ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Եթե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բավարարում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սահմանված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պահանջներին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միջև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կնքվում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տրամադրելու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պայմանագիր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: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դեպքում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երբ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կողմից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գործարքների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ճշգրտման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արդյունքում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արձանագրվում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նախկինում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հայտարարագրված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ԱԱՀ-ի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գծով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պարտավորության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չափի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փոփոխություն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ապա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տնտեսավարողն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այդ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մասին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5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ընթացքում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տեղեկացնում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ավել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վճարված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փոխհատուցման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գումարը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ճշգրտման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հաջորդող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30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ընթացքում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վերադարձնում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2A71E3" w:rsidRPr="002A71E3" w:rsidRDefault="002A71E3" w:rsidP="002A71E3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մանրամասներին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կարող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եք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ծանոթանալ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հետևյալ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begin"/>
      </w:r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instrText xml:space="preserve"> HYPERLINK "https://www.arlis.am/DocumentView.aspx?DocID=195899" </w:instrText>
      </w:r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separate"/>
      </w:r>
      <w:r w:rsidRPr="002A71E3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հղումով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end"/>
      </w:r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: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վերաբերյալ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խորհրդատվություն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ստանալու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կարող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եք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դիմել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.</w:t>
      </w:r>
    </w:p>
    <w:p w:rsidR="002A71E3" w:rsidRPr="002A71E3" w:rsidRDefault="002A71E3" w:rsidP="002A71E3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Գյուղատնտեսական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խորհրդատվության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նորարարությունների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վարչություն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 +374 11 523 411, +374 11 597 254, +374 11 297 428, +374 11 529 231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հեռախոսահամարներով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,</w:t>
      </w:r>
    </w:p>
    <w:p w:rsidR="002A71E3" w:rsidRPr="002A71E3" w:rsidRDefault="002A71E3" w:rsidP="002A71E3">
      <w:pPr>
        <w:shd w:val="clear" w:color="auto" w:fill="FEFEFE"/>
        <w:spacing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Ագրովերամշակման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վարչություն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 +374 11 230 180, +374 11 235 471, +374 11 597 236, +374 11 597 258 </w:t>
      </w:r>
      <w:proofErr w:type="spellStart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հեռախոսահամարներով</w:t>
      </w:r>
      <w:proofErr w:type="spellEnd"/>
      <w:r w:rsidRPr="002A71E3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114C62" w:rsidRDefault="00114C62" w:rsidP="002A71E3">
      <w:pPr>
        <w:ind w:left="-142" w:firstLine="142"/>
      </w:pPr>
    </w:p>
    <w:sectPr w:rsidR="00114C62" w:rsidSect="002A71E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E65"/>
    <w:multiLevelType w:val="multilevel"/>
    <w:tmpl w:val="C49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60212B"/>
    <w:multiLevelType w:val="multilevel"/>
    <w:tmpl w:val="560A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E3"/>
    <w:rsid w:val="00114C62"/>
    <w:rsid w:val="002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1E3"/>
    <w:rPr>
      <w:b/>
      <w:bCs/>
    </w:rPr>
  </w:style>
  <w:style w:type="character" w:styleId="a5">
    <w:name w:val="Hyperlink"/>
    <w:basedOn w:val="a0"/>
    <w:uiPriority w:val="99"/>
    <w:semiHidden/>
    <w:unhideWhenUsed/>
    <w:rsid w:val="002A71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1E3"/>
    <w:rPr>
      <w:b/>
      <w:bCs/>
    </w:rPr>
  </w:style>
  <w:style w:type="character" w:styleId="a5">
    <w:name w:val="Hyperlink"/>
    <w:basedOn w:val="a0"/>
    <w:uiPriority w:val="99"/>
    <w:semiHidden/>
    <w:unhideWhenUsed/>
    <w:rsid w:val="002A7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67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9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3542</Characters>
  <Application>Microsoft Office Word</Application>
  <DocSecurity>0</DocSecurity>
  <Lines>29</Lines>
  <Paragraphs>8</Paragraphs>
  <ScaleCrop>false</ScaleCrop>
  <Company>HP Inc.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2025-05-26T12:36:00Z</dcterms:created>
  <dcterms:modified xsi:type="dcterms:W3CDTF">2025-05-26T12:36:00Z</dcterms:modified>
</cp:coreProperties>
</file>