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BB" w:rsidRPr="000978BB" w:rsidRDefault="000978BB" w:rsidP="000978BB">
      <w:pPr>
        <w:shd w:val="clear" w:color="auto" w:fill="FEFEFE"/>
        <w:spacing w:line="240" w:lineRule="auto"/>
        <w:ind w:left="-142" w:firstLine="142"/>
        <w:rPr>
          <w:rFonts w:ascii="Segoe UI" w:eastAsia="Times New Roman" w:hAnsi="Segoe UI" w:cs="Segoe UI"/>
          <w:color w:val="0A0A0A"/>
          <w:sz w:val="16"/>
          <w:szCs w:val="24"/>
          <w:lang w:eastAsia="ru-RU"/>
        </w:rPr>
      </w:pPr>
      <w:bookmarkStart w:id="0" w:name="_GoBack"/>
      <w:r w:rsidRPr="000978BB">
        <w:rPr>
          <w:rFonts w:ascii="Segoe UI" w:eastAsia="Times New Roman" w:hAnsi="Segoe UI" w:cs="Segoe UI"/>
          <w:b/>
          <w:bCs/>
          <w:color w:val="526285"/>
          <w:sz w:val="24"/>
          <w:szCs w:val="38"/>
          <w:bdr w:val="none" w:sz="0" w:space="0" w:color="auto" w:frame="1"/>
          <w:lang w:eastAsia="ru-RU"/>
        </w:rPr>
        <w:t>ՀԱՅԱՍՏԱՆԻ ՀԱՆՐԱՊԵՏՈՒԹՅՈՒՆՈՒՄ ՋԵՐՄԱՏՆԱՅԻՆ ՏՆՏԵՍՈՒԹՅՈՒՆՆԵՐԻ ԶԱՐԳԱՑՄԱՆ ԱՋԱԿՑՈՒԹՅԱՆ ԾՐԱԳԻՐ</w:t>
      </w:r>
    </w:p>
    <w:bookmarkEnd w:id="0"/>
    <w:p w:rsidR="000978BB" w:rsidRPr="000978BB" w:rsidRDefault="000978BB" w:rsidP="000978BB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0978BB" w:rsidRPr="000978BB" w:rsidRDefault="000978BB" w:rsidP="000978B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Հանրապետությունում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ջերմատնային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տնտեսությունների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զարգացման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է՝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նպաստել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հանրապետությունում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ջերմատնային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softHyphen/>
        <w:t>սությունների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մակերեսի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արտահանման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ավելացմանը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արտադրանքի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մրցունակության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մակարդակի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գյուղատնտեսությունում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softHyphen/>
        <w:t>վա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softHyphen/>
        <w:t>րող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softHyphen/>
        <w:t>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եկամուտների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ավելացմանը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աջակցությամբ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տնտեսավարողներին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մատչելի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վարկային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ռեսուրսներ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տրամադրելու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0978BB" w:rsidRPr="000978BB" w:rsidRDefault="000978BB" w:rsidP="000978B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կիրականացվի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2023-2026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թվականներին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կընդգրկի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բոլոր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մարզերը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շրջանակում</w:t>
      </w:r>
      <w:proofErr w:type="spellEnd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առաջարկվող</w:t>
      </w:r>
      <w:proofErr w:type="spellEnd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պայմանները</w:t>
      </w:r>
      <w:proofErr w:type="spellEnd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. </w:t>
      </w:r>
    </w:p>
    <w:p w:rsidR="000978BB" w:rsidRPr="000978BB" w:rsidRDefault="000978BB" w:rsidP="000978BB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տրամադրել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15.0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մլրդ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համապատասխանում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շուրջ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մակերեսով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),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հիմնվող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մակերեսի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սահմանափակում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նախատեսվում</w:t>
      </w:r>
      <w:proofErr w:type="spellEnd"/>
      <w:r w:rsidRPr="000978BB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0978BB" w:rsidRPr="000978BB" w:rsidRDefault="000978BB" w:rsidP="000978BB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կառուցվող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մեկ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ամբողջական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մակերեսը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կազմի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0978BB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0978BB" w:rsidRPr="000978BB" w:rsidRDefault="000978BB" w:rsidP="000978BB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կսուբսիդավորվի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`</w:t>
      </w:r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br/>
        <w:t xml:space="preserve">ա.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մլրդ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ներառյալ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մասնաբաժինը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10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տոկոսային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կետով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 </w:t>
      </w:r>
    </w:p>
    <w:p w:rsidR="000978BB" w:rsidRPr="000978BB" w:rsidRDefault="000978BB" w:rsidP="000978B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        բ.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տրամադրվող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3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մլրդ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դրամից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ավել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մինչև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մլրդ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ներառյալ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դրամ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գումարի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մասնաբաժինը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՝ 9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տոկոսային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կետով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bdr w:val="none" w:sz="0" w:space="0" w:color="auto" w:frame="1"/>
          <w:lang w:eastAsia="ru-RU"/>
        </w:rPr>
        <w:t>,</w:t>
      </w:r>
    </w:p>
    <w:p w:rsidR="000978BB" w:rsidRPr="000978BB" w:rsidRDefault="000978BB" w:rsidP="000978BB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      գ.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տրամադրվող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9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մլրդ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դրամից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15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մլրդ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գումարի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մասնաբաժինը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8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տոկոսային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կետով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.</w:t>
      </w:r>
    </w:p>
    <w:p w:rsidR="000978BB" w:rsidRPr="000978BB" w:rsidRDefault="000978BB" w:rsidP="000978B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շահառուին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կսուբսիդավորվի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տրամադրված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0978BB" w:rsidRPr="000978BB" w:rsidRDefault="000978BB" w:rsidP="000978B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8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</w:t>
      </w:r>
      <w:r w:rsidRPr="000978BB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</w:p>
    <w:p w:rsidR="000978BB" w:rsidRPr="000978BB" w:rsidRDefault="000978BB" w:rsidP="000978B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դիմումով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սահմանել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արտոնյալ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12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</w:t>
      </w:r>
      <w:proofErr w:type="spellEnd"/>
      <w:r w:rsidRPr="000978BB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0978BB" w:rsidRPr="000978BB" w:rsidRDefault="000978BB" w:rsidP="000978B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փոխադարձ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համաձայնությամբ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սահմանել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վճարման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դադարի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շրջաններ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տարեկան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ժամկետով</w:t>
      </w:r>
      <w:proofErr w:type="spellEnd"/>
      <w:r w:rsidRPr="000978BB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</w:p>
    <w:p w:rsidR="000978BB" w:rsidRPr="000978BB" w:rsidRDefault="000978BB" w:rsidP="000978B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կառուցման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ժամկետը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</w:t>
      </w:r>
      <w:r w:rsidRPr="000978BB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5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է.</w:t>
      </w:r>
    </w:p>
    <w:p w:rsidR="000978BB" w:rsidRPr="000978BB" w:rsidRDefault="000978BB" w:rsidP="000978BB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հանրագումարի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շրջանակում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վարկավորվի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միայն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մեկ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ֆինանսական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կառույցի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0978BB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Ծրագրին</w:t>
      </w:r>
      <w:proofErr w:type="spellEnd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մասնակցության</w:t>
      </w:r>
      <w:proofErr w:type="spellEnd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ընթացակարգը</w:t>
      </w:r>
      <w:proofErr w:type="spellEnd"/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.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ստանալու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նպատակով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սկսելը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մասնակից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ֆինանսական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կառույցներին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hyperlink r:id="rId6" w:history="1">
        <w:r w:rsidRPr="000978B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ՑԱՆԿ</w:t>
        </w:r>
      </w:hyperlink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).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br/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ֆինանսական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կառույցի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վարկունակության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պահանջները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բավարարելու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ստացման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հետևյալ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փաստաթղթերը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՝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</w:t>
      </w:r>
      <w:r w:rsidRPr="000978BB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հաստատող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փաստաթղթի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պատճենը</w:t>
      </w:r>
      <w:proofErr w:type="spellEnd"/>
      <w:r w:rsidRPr="000978BB">
        <w:rPr>
          <w:rFonts w:ascii="Cambria Math" w:eastAsia="Times New Roman" w:hAnsi="Cambria Math" w:cs="Cambria Math"/>
          <w:color w:val="0A0A0A"/>
          <w:sz w:val="24"/>
          <w:szCs w:val="24"/>
          <w:lang w:eastAsia="ru-RU"/>
        </w:rPr>
        <w:t>․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</w:t>
      </w:r>
      <w:r w:rsidRPr="000978BB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անշարժ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գույքի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սեփականության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կառուցապատման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իրավունքի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գրանցման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վկայականի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պատճենը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ամրագրված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նպատակային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նշանակությունը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արդյունաբերության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ընդերքօգտագործման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lastRenderedPageBreak/>
        <w:t>նշանակության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օբյեկտների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իսկ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գործառնական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նշանակությունը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օբյեկտների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է։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կառուցապատման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իրավունքով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տրամադրված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լինելու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ներկայացվում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կառուցապատման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իրավունքի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պայմանագիրը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։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կառուցապատման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իրավունքի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ժամկետը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վարկային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պայմանագիրն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ուժի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մեջ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մտնելու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պահից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հաշված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առնվազն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։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Անշարժ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գույքի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նկատմամբ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համասեփականատերերի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առկայության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ներկայացվում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նոտարական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կարգով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վավերացված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անշարժ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գույքի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սեփականատիրոջ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համասեփականատերերի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համաձայնությունը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կառուցման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0978BB">
        <w:rPr>
          <w:rFonts w:ascii="Cambria Math" w:eastAsia="Times New Roman" w:hAnsi="Cambria Math" w:cs="Cambria Math"/>
          <w:color w:val="0A0A0A"/>
          <w:sz w:val="24"/>
          <w:szCs w:val="24"/>
          <w:lang w:eastAsia="ru-RU"/>
        </w:rPr>
        <w:t>․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</w:t>
      </w:r>
      <w:r w:rsidRPr="000978BB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պահանջներին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համապատասխանող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ջերմատան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նախագիծը</w:t>
      </w:r>
      <w:proofErr w:type="spellEnd"/>
      <w:r w:rsidRPr="000978BB">
        <w:rPr>
          <w:rFonts w:ascii="Cambria Math" w:eastAsia="Times New Roman" w:hAnsi="Cambria Math" w:cs="Cambria Math"/>
          <w:color w:val="0A0A0A"/>
          <w:sz w:val="24"/>
          <w:szCs w:val="24"/>
          <w:lang w:eastAsia="ru-RU"/>
        </w:rPr>
        <w:t>․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դ</w:t>
      </w:r>
      <w:r w:rsidRPr="000978BB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նախագիծը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թողարկող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պատասխանատուի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երաշխավորագիրը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`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պահանջներին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նախագծի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համապատասխանության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.</w:t>
      </w:r>
    </w:p>
    <w:p w:rsidR="000978BB" w:rsidRPr="000978BB" w:rsidRDefault="000978BB" w:rsidP="000978BB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0978BB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</w:t>
      </w:r>
      <w:r w:rsidRPr="000978BB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համաձայնագիր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շրջանակում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տեղեկությունները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նախարարությանը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մարմնին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փոխանցելու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.</w:t>
      </w:r>
    </w:p>
    <w:p w:rsidR="000978BB" w:rsidRPr="000978BB" w:rsidRDefault="000978BB" w:rsidP="000978BB">
      <w:pPr>
        <w:shd w:val="clear" w:color="auto" w:fill="FEFEFE"/>
        <w:spacing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հետևյալ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"https://mineconomy.am/media/33118/204484.pdf" </w:instrText>
      </w:r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0978BB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հղումով</w:t>
      </w:r>
      <w:proofErr w:type="spellEnd"/>
      <w:r w:rsidRPr="000978BB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hyperlink r:id="rId7" w:history="1">
        <w:r w:rsidRPr="000978BB">
          <w:rPr>
            <w:rFonts w:ascii="Segoe UI" w:eastAsia="Times New Roman" w:hAnsi="Segoe UI" w:cs="Segoe UI"/>
            <w:color w:val="337AB7"/>
            <w:sz w:val="24"/>
            <w:szCs w:val="24"/>
            <w:bdr w:val="none" w:sz="0" w:space="0" w:color="auto" w:frame="1"/>
            <w:lang w:eastAsia="ru-RU"/>
          </w:rPr>
          <w:t>։</w:t>
        </w:r>
      </w:hyperlink>
    </w:p>
    <w:p w:rsidR="00114C62" w:rsidRDefault="00114C62"/>
    <w:sectPr w:rsidR="00114C62" w:rsidSect="000978B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24B"/>
    <w:multiLevelType w:val="multilevel"/>
    <w:tmpl w:val="89A8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96F5A"/>
    <w:multiLevelType w:val="multilevel"/>
    <w:tmpl w:val="5758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BB"/>
    <w:rsid w:val="000978BB"/>
    <w:rsid w:val="0011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8BB"/>
    <w:rPr>
      <w:b/>
      <w:bCs/>
    </w:rPr>
  </w:style>
  <w:style w:type="character" w:styleId="a5">
    <w:name w:val="Hyperlink"/>
    <w:basedOn w:val="a0"/>
    <w:uiPriority w:val="99"/>
    <w:semiHidden/>
    <w:unhideWhenUsed/>
    <w:rsid w:val="00097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8BB"/>
    <w:rPr>
      <w:b/>
      <w:bCs/>
    </w:rPr>
  </w:style>
  <w:style w:type="character" w:styleId="a5">
    <w:name w:val="Hyperlink"/>
    <w:basedOn w:val="a0"/>
    <w:uiPriority w:val="99"/>
    <w:semiHidden/>
    <w:unhideWhenUsed/>
    <w:rsid w:val="0009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38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rlis.am/DocumentView.aspx?docid=202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nomy.am/media/32726/Copy%20of%20Jermatun_Bank_cank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3194</Characters>
  <Application>Microsoft Office Word</Application>
  <DocSecurity>0</DocSecurity>
  <Lines>26</Lines>
  <Paragraphs>7</Paragraphs>
  <ScaleCrop>false</ScaleCrop>
  <Company>HP Inc.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2025-05-26T11:53:00Z</dcterms:created>
  <dcterms:modified xsi:type="dcterms:W3CDTF">2025-05-26T11:55:00Z</dcterms:modified>
</cp:coreProperties>
</file>