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9B" w:rsidRPr="00D90D9B" w:rsidRDefault="00D90D9B" w:rsidP="00D90D9B">
      <w:pPr>
        <w:shd w:val="clear" w:color="auto" w:fill="FEFEFE"/>
        <w:spacing w:line="240" w:lineRule="auto"/>
        <w:rPr>
          <w:rFonts w:ascii="Segoe UI" w:eastAsia="Times New Roman" w:hAnsi="Segoe UI" w:cs="Segoe UI"/>
          <w:color w:val="0A0A0A"/>
          <w:sz w:val="14"/>
          <w:szCs w:val="24"/>
          <w:lang w:eastAsia="ru-RU"/>
        </w:rPr>
      </w:pPr>
      <w:proofErr w:type="spellStart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>Հայաստանի</w:t>
      </w:r>
      <w:proofErr w:type="spellEnd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>Հանրապետությունում</w:t>
      </w:r>
      <w:proofErr w:type="spellEnd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>ինտենսիվ</w:t>
      </w:r>
      <w:proofErr w:type="spellEnd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>այգեգործության</w:t>
      </w:r>
      <w:proofErr w:type="spellEnd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>զարգացման</w:t>
      </w:r>
      <w:proofErr w:type="spellEnd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>արդիական</w:t>
      </w:r>
      <w:proofErr w:type="spellEnd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>տեխնոլոգիաների</w:t>
      </w:r>
      <w:proofErr w:type="spellEnd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>ներդրման</w:t>
      </w:r>
      <w:proofErr w:type="spellEnd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>ոչ</w:t>
      </w:r>
      <w:proofErr w:type="spellEnd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>ավանդական</w:t>
      </w:r>
      <w:proofErr w:type="spellEnd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>բարձրարժեք</w:t>
      </w:r>
      <w:proofErr w:type="spellEnd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>մշակաբույսերի</w:t>
      </w:r>
      <w:proofErr w:type="spellEnd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>արտադրության</w:t>
      </w:r>
      <w:proofErr w:type="spellEnd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>խթանման</w:t>
      </w:r>
      <w:proofErr w:type="spellEnd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>պետական</w:t>
      </w:r>
      <w:proofErr w:type="spellEnd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>աջակցության</w:t>
      </w:r>
      <w:proofErr w:type="spellEnd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526285"/>
          <w:szCs w:val="38"/>
          <w:bdr w:val="none" w:sz="0" w:space="0" w:color="auto" w:frame="1"/>
          <w:lang w:eastAsia="ru-RU"/>
        </w:rPr>
        <w:t>ծրագիր</w:t>
      </w:r>
      <w:proofErr w:type="spellEnd"/>
    </w:p>
    <w:p w:rsidR="00D90D9B" w:rsidRPr="00D90D9B" w:rsidRDefault="00D90D9B" w:rsidP="00D90D9B">
      <w:pPr>
        <w:shd w:val="clear" w:color="auto" w:fill="FEFEFE"/>
        <w:spacing w:after="0" w:line="240" w:lineRule="auto"/>
        <w:jc w:val="center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A0A0A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mineconomy.am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mineconomy.am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D56wIAAOc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XKFD56wIAAOc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D90D9B" w:rsidRPr="00D90D9B" w:rsidRDefault="00D90D9B" w:rsidP="00D90D9B">
      <w:pPr>
        <w:shd w:val="clear" w:color="auto" w:fill="FEFEFE"/>
        <w:spacing w:after="0" w:line="240" w:lineRule="auto"/>
        <w:jc w:val="right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Ծրագրի</w:t>
      </w:r>
      <w:proofErr w:type="spellEnd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այգեհիմնման</w:t>
      </w:r>
      <w:proofErr w:type="spellEnd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փոխհատուցման</w:t>
      </w:r>
      <w:proofErr w:type="spellEnd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բաղադրիչը</w:t>
      </w:r>
      <w:proofErr w:type="spellEnd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դադարեցվել</w:t>
      </w:r>
      <w:proofErr w:type="spellEnd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է,</w:t>
      </w:r>
    </w:p>
    <w:p w:rsidR="00D90D9B" w:rsidRPr="00D90D9B" w:rsidRDefault="00D90D9B" w:rsidP="00D90D9B">
      <w:pPr>
        <w:shd w:val="clear" w:color="auto" w:fill="FEFEFE"/>
        <w:spacing w:after="0" w:line="240" w:lineRule="auto"/>
        <w:jc w:val="right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գործում</w:t>
      </w:r>
      <w:proofErr w:type="spellEnd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է </w:t>
      </w:r>
      <w:proofErr w:type="spellStart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վարկային</w:t>
      </w:r>
      <w:proofErr w:type="spellEnd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բաղադրիչը</w:t>
      </w:r>
      <w:proofErr w:type="spellEnd"/>
    </w:p>
    <w:p w:rsidR="00D90D9B" w:rsidRPr="00D90D9B" w:rsidRDefault="00D90D9B" w:rsidP="00D90D9B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</w:p>
    <w:p w:rsidR="00D90D9B" w:rsidRPr="00D90D9B" w:rsidRDefault="00D90D9B" w:rsidP="00D90D9B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հիմնական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նպատակն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ժամանակակից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տեխնոլոգիաներով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մշակվող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խաղողի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ինտենսիվ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պտղատու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այգիների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հատապտղանոցների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հիմնման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ոչ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ավանդական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բարձրարժեք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մշակաբույսերի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մշակման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ինչպես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նաև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ոռոգման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արդիական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համակարգերի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կարկտապաշտպան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ցանցերի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ներդրման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պետական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աջակցության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միջոցով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խթանել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ժամանակակից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բարձր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բերքատվությամբ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այգիների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հիմնումը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այդ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եղանակով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պտղաբուծության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խաղողագործության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զարգացումն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ու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արդյունավետության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բարձրացումը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ավելացնել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մրցունակ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խաղողի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պտղի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հատապտղի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արտադրության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արտահանման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ծավալները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խթանել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ոչ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ավանդական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բարձր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արժեք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ապահովող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մշակաբույսերի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արտադրությունը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նվազեցնել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կարկտահարության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այլ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բնակլիմայական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գործոններով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պայմանավորված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ռիսկերը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նպաստել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ջրային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ռեսուրսների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խնայողաբար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արդյունավետ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օգտագործմանը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մեղմել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կլիմայի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փոփոխության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ազդեցությունը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նպաստել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հարմարվողականության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մակարդակի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բարձրացմանը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նպաստել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գյուղատնտեսությունում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տնտեսավարողների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եկամուտների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ավելացմանը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</w:t>
      </w:r>
    </w:p>
    <w:p w:rsidR="00D90D9B" w:rsidRPr="00D90D9B" w:rsidRDefault="00D90D9B" w:rsidP="00D90D9B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Ծրագիրը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իրականացվում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2021-2025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թվականներին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ընդգրկում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Հայաստանի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Հանրապետության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ամբողջ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տարածքը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</w:t>
      </w:r>
    </w:p>
    <w:p w:rsidR="00D90D9B" w:rsidRPr="00D90D9B" w:rsidRDefault="00D90D9B" w:rsidP="00D90D9B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Ծրագիրն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իրականացվում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երկու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բաղադրիչով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վարկերի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տոկոսադրույքների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մասնակի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սուբսիդավորման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իսկ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առանց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այգեհիմնման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ոռոգման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արդիական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համակարգերի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1000-ից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մինչև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100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հազար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խորանարդ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մետր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ծավալով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ջրավազանների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կառուցման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խաղողի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ինտենսիվ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պտղատու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այգիներում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հատապտղանոցներում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այգիներում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որոնք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հիմնված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N 1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աղյուսակում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նշված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1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այգում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տնկիների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նվազագույն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թվից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ոչ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պակաս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քանակի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տնկիներով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այգում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ծառերի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առավելագույն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սահմանային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բարձրությունը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չի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գերազանցում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4.0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մետրը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այգում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ներդրված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ոռոգման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արդիական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համակարգ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կարկտապաշտպան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ցանց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ներդնելու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դեպքում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նաև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ծախսերի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մասնակի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փոխհատուցման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միջոցով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</w:t>
      </w:r>
    </w:p>
    <w:p w:rsidR="00D90D9B" w:rsidRPr="00D90D9B" w:rsidRDefault="00D90D9B" w:rsidP="00D90D9B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մասնակցելու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նպատակով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շահառուները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մինչև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ներդրման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աշխատանքների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սկսվելը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դիմում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մասնակից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ֆինանսական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կառույցներին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( </w:t>
      </w:r>
      <w:hyperlink r:id="rId6" w:history="1">
        <w:r w:rsidRPr="00D90D9B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ՑԱՆԿ</w:t>
        </w:r>
      </w:hyperlink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), 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վարկունակության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բավարար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մակարդակը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ճշգրտելու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նպատակով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միաժամանակ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նախարարություն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ներկայացնելով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22-րդ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կետով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պահանջվող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փաստաթղթերը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իսկ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փոխհատուցման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բաղադրիչի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դեպքում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Էկոնոմիկայի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նախարարությանը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</w:t>
      </w:r>
    </w:p>
    <w:p w:rsidR="00D90D9B" w:rsidRPr="00D90D9B" w:rsidRDefault="00D90D9B" w:rsidP="00D90D9B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proofErr w:type="gram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Ծրագիրը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պետք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իրականացվի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մեկ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կապալառու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կազմակերպության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միջոցով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ներառյալ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անհրաժեշտ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միջոցների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ձեռքբերումը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աշխատանքների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իրականացումը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պարտավորությունների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կատարմանը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մասնակից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դարձնել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այլ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ենթակապալառուների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բացառությամբ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ոչ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ավանդական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բարձրարժեք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այդ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թվում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հատիկաընդեղեն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մշակաբույսերի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արտադրություն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lastRenderedPageBreak/>
        <w:t>կազմակերպելու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ինչպես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նաև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ոռոգման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առաջադիմական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շարժական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համակարգերի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ձեռքբերման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դեպքերի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որոնք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իրականացվել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նաև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առանց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կապալառու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կազմակերպության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։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շրջանակում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10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ավելի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 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տարածքում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ներդրում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կատարելու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10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հազար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խորանարդ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մետր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ավելի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ծավալով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ջրավազանի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կառուցման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դեպքում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միայն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իրավաբանական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անձ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անհատ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ձեռնարկատեր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համայնք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ծրագիրը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իրականացնել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տարբեր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մեկից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ավելի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կապալառու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կազմակերպությունների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միջոցով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պայմանագիր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կնքելով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 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քանի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կապալառուների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հետ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տարբեր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աշխատանքների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հողային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ոռոգման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արդիական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կարկտապաշտպան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համակարգերի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ներդրման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ջրավազանի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կառուցման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աշխատանքներ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անհրաժեշտ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միջոցների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ապրանքների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ձեռքբերման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իսկ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անհրաժեշտ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միջոցների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ապրանքների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ձեռքբերումը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իրականացվել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նաև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կողմից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պայմանով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պետք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ներկայացնի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նաև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«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Հաշվապահական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հաշվառման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աուդիտորական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գործունեության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կարգավորման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հանրային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վերահսկողության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մասին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»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օրենքի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22-րդ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հոդվածի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1</w:t>
      </w:r>
      <w:proofErr w:type="gram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-ին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սահմանված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աուդիտորների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փորձագետ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հաշվապահների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աուդիտորական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կազմակերպությունների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ռեեստրում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գրանցված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միջազգային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ցանցին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անդամակցող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աուդիտորական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կազմակերպության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կողմից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տրված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ֆինանսական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հաշվետվությունների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վերաբերյալ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աուդիտորական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եզրակացություն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պետք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արտացոլվեն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շրջանակում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կատարված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ծախսերը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։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Կապալառու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կազմակերպությունների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հետ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համագործակցությունից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կախված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տրամադրվող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վարկի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փոխհատուցվող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գումարի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չափը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փոփոխության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ենթակա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չէ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: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Կապալառուն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ենթակապալառուն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պետք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լինեն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իրավաբանական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անձ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անհատ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ձեռնարկատեր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ունենան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տվյալ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բնագավառի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այգեհիմնման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դեպքում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ագրոնոմիական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հիդրոտեխնիկական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հողային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ջրային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ռեսուրսների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ճարտարագիտություն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իսկ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կարկտապաշտպան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ցանց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ներդնելու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դեպքում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նաև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շինարարության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 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առանց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այգեհիմնման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ոռոգման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արդիական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համակարգերի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ներդրման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ջրավազանների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կառուցման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դեպքում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հիդրոտեխնիկական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հողային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ջրային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ռեսուրսների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ճարտարագիտություն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առանց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այգեհիմնման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կարկտապաշտպան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ցանցի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ներդրման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դեպքում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շինարարության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)՝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համապատասխան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աշխատանքն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իրենց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կողմից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իրականացնելու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առնվազն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մեկ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որակավորված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աշխատող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</w:t>
      </w:r>
    </w:p>
    <w:p w:rsidR="00D90D9B" w:rsidRPr="00D90D9B" w:rsidRDefault="00D90D9B" w:rsidP="00D90D9B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շրջանակում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պարտավոր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նաև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այգեհիմնմանը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հաջորդող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3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տարիների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վարել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begin"/>
      </w:r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instrText xml:space="preserve"> HYPERLINK "https://mineconomy.am/media/16718/matyan.docx" </w:instrText>
      </w:r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separate"/>
      </w:r>
      <w:r w:rsidRPr="00D90D9B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գրանցամատյան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end"/>
      </w:r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 </w:t>
      </w:r>
    </w:p>
    <w:p w:rsidR="00D90D9B" w:rsidRPr="00D90D9B" w:rsidRDefault="00D90D9B" w:rsidP="00D90D9B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Բաղադրիչ</w:t>
      </w:r>
      <w:proofErr w:type="spellEnd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1</w:t>
      </w:r>
      <w:r w:rsidRPr="00D90D9B">
        <w:rPr>
          <w:rFonts w:ascii="Cambria Math" w:eastAsia="Times New Roman" w:hAnsi="Cambria Math" w:cs="Cambria Math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․</w:t>
      </w:r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Վարկերի </w:t>
      </w:r>
      <w:proofErr w:type="spellStart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տոկոսադրույքների</w:t>
      </w:r>
      <w:proofErr w:type="spellEnd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մասնակի</w:t>
      </w:r>
      <w:proofErr w:type="spellEnd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սուբսիդավորում</w:t>
      </w:r>
      <w:proofErr w:type="spellEnd"/>
    </w:p>
    <w:p w:rsidR="00D90D9B" w:rsidRPr="00D90D9B" w:rsidRDefault="00D90D9B" w:rsidP="00D90D9B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0.5 (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յուրաքանչյուր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պտղատեսակի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)-500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այգեհիմնում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ներառյալ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առաջին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տարվա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խնամքի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ծախսերը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)</w:t>
      </w:r>
    </w:p>
    <w:p w:rsidR="00D90D9B" w:rsidRPr="00D90D9B" w:rsidRDefault="00D90D9B" w:rsidP="00D90D9B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0.5 և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ավելի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տարածքի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ոռոգման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արդիական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համակարգերի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ներդրում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1000-ից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մինչև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100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հազար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խորանարդ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մետր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ծավալով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ջրավազանների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կառուցում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</w:p>
    <w:p w:rsidR="00D90D9B" w:rsidRPr="00D90D9B" w:rsidRDefault="00D90D9B" w:rsidP="00D90D9B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0.5-100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խաղողի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ինտենսիվ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պտղատու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այգիներում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հատապտղանոցներում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կարկտապաշտպան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ցանցերի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ներդրում</w:t>
      </w:r>
      <w:proofErr w:type="spellEnd"/>
    </w:p>
    <w:p w:rsidR="00D90D9B" w:rsidRPr="00D90D9B" w:rsidRDefault="00D90D9B" w:rsidP="00D90D9B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1.0-30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ծնեբեկի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պրասասոխի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ռուկոլայի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բրյուսելյան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պեկինյան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կաղամբների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կոլրաբիի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գանգրակաղամբի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կալե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),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ցուկինիի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դեղին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մուգ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կանաչ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և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պատիսոնի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քաղցր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եգիպտացորենի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հատիկաընդեղենի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մշակություն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նաև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այլ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ոչ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ավանդական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մշակաբույսեր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համաձայնեցնելով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ՀՀ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lastRenderedPageBreak/>
        <w:t>էկոնոմիկայի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նախարարության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հետ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br/>
        <w:t> </w:t>
      </w:r>
    </w:p>
    <w:p w:rsidR="00D90D9B" w:rsidRPr="00D90D9B" w:rsidRDefault="00D90D9B" w:rsidP="00D90D9B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Բաղադրիչ</w:t>
      </w:r>
      <w:proofErr w:type="spellEnd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2</w:t>
      </w:r>
      <w:r w:rsidRPr="00D90D9B">
        <w:rPr>
          <w:rFonts w:ascii="Cambria Math" w:eastAsia="Times New Roman" w:hAnsi="Cambria Math" w:cs="Cambria Math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․</w:t>
      </w:r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Ծախսերի</w:t>
      </w:r>
      <w:proofErr w:type="spellEnd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մասնակի</w:t>
      </w:r>
      <w:proofErr w:type="spellEnd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փոխհատուցում</w:t>
      </w:r>
      <w:proofErr w:type="spellEnd"/>
    </w:p>
    <w:p w:rsidR="00D90D9B" w:rsidRPr="00D90D9B" w:rsidRDefault="00D90D9B" w:rsidP="00D90D9B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0.5 և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ավելի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ոռոգման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արդիական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համակարգերի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ձեռքբերում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ներդրում</w:t>
      </w:r>
      <w:proofErr w:type="spellEnd"/>
    </w:p>
    <w:p w:rsidR="00D90D9B" w:rsidRPr="00D90D9B" w:rsidRDefault="00D90D9B" w:rsidP="00D90D9B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1000-ից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մինչև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100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հազար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խորանարդ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մետր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ծավալով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ջրավազանների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կառուցում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</w:p>
    <w:p w:rsidR="00D90D9B" w:rsidRPr="00D90D9B" w:rsidRDefault="00D90D9B" w:rsidP="00D90D9B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0</w:t>
      </w:r>
      <w:r w:rsidRPr="00D90D9B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5-3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խաղողի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ինտենսիվ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պտղատու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այգիներում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հատապտղանոցներում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կարկտապաշտպան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ցանցերի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ներդրում</w:t>
      </w:r>
      <w:proofErr w:type="spellEnd"/>
      <w:r w:rsidRPr="00D90D9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D90D9B" w:rsidRPr="00D90D9B" w:rsidRDefault="00D90D9B" w:rsidP="00D90D9B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շրջանակում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0.5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ավելի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ոռոգման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արդիական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համակարգերի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ձեռքբերման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ներդրման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բացառությամբ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շարժական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համակարգի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1000-ից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մինչև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100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հազար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խորանարդ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մետր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ծավալով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ջրավազանների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կառուցման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յուրաքանչյուր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կփոխհատուցվի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փաստացի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կատարված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ծախսերի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50 %–ը,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1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-ի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հաշվով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չպետք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գերազանցի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գնահատված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ծախսերի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առավելագույն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սահմանաչափերի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50%-ը,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իսկ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միայն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ոռոգման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արդիական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համակարգերի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գերնորմատիվային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ջրապահանջարկ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ունեցող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հողատարածքներում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ներդրման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դեպքում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կփոխհատուցվի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փաստացի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կատարված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ծախսերի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60%–ը,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1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-ի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հաշվով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չպետք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գերազանցի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գնահատված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ծախսերի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առավելագույն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սահմանաչափերի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  60 %-ը։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Ոռոգման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արդիական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շարժական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համակարգի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ձեռքբերման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յուրաքանչյուր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կփոխհատուցվի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ձեռքբերման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արժեքի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50 %–ը,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բայց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ոչ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ավելի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քան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միավորի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հաշվով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7.5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մլն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դրամը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ընդ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յուրաքանչյուր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տրամադրվող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փոխհատուցման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հանրագումարը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չի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գերազանցել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75.0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մլն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դրամը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</w:t>
      </w:r>
    </w:p>
    <w:p w:rsidR="00D90D9B" w:rsidRPr="00D90D9B" w:rsidRDefault="00D90D9B" w:rsidP="00D90D9B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շրջանակում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0</w:t>
      </w:r>
      <w:r w:rsidRPr="00D90D9B">
        <w:rPr>
          <w:rFonts w:ascii="Cambria Math" w:eastAsia="Times New Roman" w:hAnsi="Cambria Math" w:cs="Cambria Math"/>
          <w:color w:val="0A0A0A"/>
          <w:sz w:val="24"/>
          <w:szCs w:val="24"/>
          <w:lang w:eastAsia="ru-RU"/>
        </w:rPr>
        <w:t>․</w:t>
      </w:r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5-3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խաղողի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ինտենսիվ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պտղատու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այգիներում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հատապտղանոցներում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ՀՀ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կառավարության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որոշման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hyperlink r:id="rId7" w:history="1">
        <w:r w:rsidRPr="00D90D9B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N 18 </w:t>
        </w:r>
        <w:proofErr w:type="spellStart"/>
        <w:r w:rsidRPr="00D90D9B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աղյուսակում</w:t>
        </w:r>
        <w:proofErr w:type="spellEnd"/>
      </w:hyperlink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ընդգրկված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կարկտի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առավել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ակտիվ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գոտիներում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գտնվող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բնակավայրերում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կարկտապաշտպան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ցանցերի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ներդրման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կապալառուին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կփոխհատուցվի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փաստացի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կատարված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ծախսերի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75 %-ը,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իսկ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բնակավայրերում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որոնք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ընդգրկված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չեն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hyperlink r:id="rId8" w:history="1">
        <w:r w:rsidRPr="00D90D9B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N 18 </w:t>
        </w:r>
        <w:proofErr w:type="spellStart"/>
        <w:r w:rsidRPr="00D90D9B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աղյուսակում</w:t>
        </w:r>
        <w:proofErr w:type="spellEnd"/>
        <w:r w:rsidRPr="00D90D9B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՝</w:t>
        </w:r>
      </w:hyperlink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 50 %-ը՝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նախարարության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կապալառուի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միջև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կնքված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պայմանագրի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հիման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վրա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1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-ի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հաշվով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չպետք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գերազանցի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ծախսի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առավելագույն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սահմանաչափի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(12.1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մլն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դրամ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համապատասխանաբար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75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50 %-ը: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Եթե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կարկտապաշտպան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ցանցերի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ներդրման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համար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կապալառուի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կողմից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կատարված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փաստացի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ծախսերը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1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-ի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հաշվով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գերազանցում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ծախսի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առավելագույն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սահմանաչափը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ապա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կապալառուին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սահմանաչափը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գերազանցող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գումարի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վճարման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պարտավորությունը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կրում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</w:t>
      </w:r>
    </w:p>
    <w:p w:rsidR="00D90D9B" w:rsidRPr="00D90D9B" w:rsidRDefault="00D90D9B" w:rsidP="00D90D9B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փոխհատուցման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բաղադրիչին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մասնակցության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դիմումը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անհրաժեշտ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փաստաթղթերը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եք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ուղարկել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secretariat@mineconomy.am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էլեկտրոնային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հասցեին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:</w:t>
      </w:r>
    </w:p>
    <w:p w:rsidR="00D90D9B" w:rsidRPr="00D90D9B" w:rsidRDefault="00D90D9B" w:rsidP="00D90D9B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մանրամասներին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եք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ծանոթանալ</w:t>
      </w:r>
      <w:proofErr w:type="spellEnd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begin"/>
      </w:r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instrText xml:space="preserve"> HYPERLINK "https://www.arlis.am/DocumentView.aspx?DocID=206899" </w:instrText>
      </w:r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separate"/>
      </w:r>
      <w:r w:rsidRPr="00D90D9B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այստեղ</w:t>
      </w:r>
      <w:proofErr w:type="spellEnd"/>
      <w:r w:rsidRPr="00D90D9B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 </w:t>
      </w:r>
      <w:r w:rsidRPr="00D90D9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end"/>
      </w:r>
      <w:bookmarkStart w:id="0" w:name="_GoBack"/>
      <w:bookmarkEnd w:id="0"/>
    </w:p>
    <w:p w:rsidR="00114C62" w:rsidRDefault="00114C62"/>
    <w:sectPr w:rsidR="00114C62" w:rsidSect="00D90D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E7C"/>
    <w:multiLevelType w:val="multilevel"/>
    <w:tmpl w:val="305A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2F444A"/>
    <w:multiLevelType w:val="multilevel"/>
    <w:tmpl w:val="081E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9B"/>
    <w:rsid w:val="00114C62"/>
    <w:rsid w:val="00D9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D9B"/>
    <w:rPr>
      <w:b/>
      <w:bCs/>
    </w:rPr>
  </w:style>
  <w:style w:type="character" w:styleId="a5">
    <w:name w:val="Hyperlink"/>
    <w:basedOn w:val="a0"/>
    <w:uiPriority w:val="99"/>
    <w:semiHidden/>
    <w:unhideWhenUsed/>
    <w:rsid w:val="00D90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D9B"/>
    <w:rPr>
      <w:b/>
      <w:bCs/>
    </w:rPr>
  </w:style>
  <w:style w:type="character" w:styleId="a5">
    <w:name w:val="Hyperlink"/>
    <w:basedOn w:val="a0"/>
    <w:uiPriority w:val="99"/>
    <w:semiHidden/>
    <w:unhideWhenUsed/>
    <w:rsid w:val="00D90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67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9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2034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rlis.am/DocumentView.aspx?DocID=2034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economy.am/media/31606/cank%20banker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1151</Words>
  <Characters>6562</Characters>
  <Application>Microsoft Office Word</Application>
  <DocSecurity>0</DocSecurity>
  <Lines>54</Lines>
  <Paragraphs>15</Paragraphs>
  <ScaleCrop>false</ScaleCrop>
  <Company>HP Inc.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2025-05-26T11:46:00Z</dcterms:created>
  <dcterms:modified xsi:type="dcterms:W3CDTF">2025-05-26T11:47:00Z</dcterms:modified>
</cp:coreProperties>
</file>