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81" w:rsidRDefault="001F4381" w:rsidP="001F4381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>ՔԱՂԱՔԱՑԻԱԿԱՆ ԾԱՌԱՅՈՒԹՅԱՆ ՊԱՇՏՈՆԻ ԱՆՁՆԱԳԻՐ</w:t>
      </w:r>
      <w:r>
        <w:rPr>
          <w:rFonts w:ascii="Sylfaen" w:hAnsi="Sylfaen"/>
          <w:color w:val="333333"/>
          <w:sz w:val="21"/>
          <w:szCs w:val="21"/>
        </w:rPr>
        <w:br/>
        <w:t>ՀԱՅԱՍՏԱՆԻ ՀԱՆՐԱՊԵՏՈՒԹՅԱՆ ԱՐԱԳԱԾՈՏՆԻ ՄԱՐԶՊԵՏԱՐԱՆԻ</w:t>
      </w:r>
      <w:r>
        <w:rPr>
          <w:rFonts w:ascii="Sylfaen" w:hAnsi="Sylfaen"/>
          <w:color w:val="333333"/>
          <w:sz w:val="21"/>
          <w:szCs w:val="21"/>
        </w:rPr>
        <w:br/>
        <w:t>ՔԱՂԱՔԱՇԻՆՈՒԹՅԱՆ ՎԱՐՉՈՒԹՅԱՆ ՊԵՏ</w:t>
      </w:r>
      <w:r>
        <w:rPr>
          <w:rFonts w:ascii="Sylfaen" w:hAnsi="Sylfaen"/>
          <w:color w:val="333333"/>
          <w:sz w:val="21"/>
          <w:szCs w:val="21"/>
        </w:rPr>
        <w:br/>
      </w:r>
      <w:r>
        <w:rPr>
          <w:rFonts w:ascii="Sylfaen" w:hAnsi="Sylfaen"/>
          <w:color w:val="333333"/>
          <w:sz w:val="21"/>
          <w:szCs w:val="21"/>
        </w:rPr>
        <w:br/>
        <w:t>1</w:t>
      </w:r>
      <w:r>
        <w:rPr>
          <w:color w:val="333333"/>
          <w:sz w:val="21"/>
          <w:szCs w:val="21"/>
        </w:rPr>
        <w:t>․</w:t>
      </w:r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Ընդհանուր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դրույթներ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1.1.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Պաշտոնի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անվանումը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ծածկագիրը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այսուհետ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)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քաղաքաշինության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այսուհետ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) </w:t>
      </w:r>
      <w:proofErr w:type="spellStart"/>
      <w:r>
        <w:rPr>
          <w:rFonts w:ascii="Sylfaen" w:hAnsi="Sylfaen"/>
          <w:color w:val="333333"/>
          <w:sz w:val="21"/>
          <w:szCs w:val="21"/>
        </w:rPr>
        <w:t>պետ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ծածկագիր</w:t>
      </w:r>
      <w:proofErr w:type="spellEnd"/>
      <w:r>
        <w:rPr>
          <w:rFonts w:ascii="Sylfaen" w:hAnsi="Sylfaen"/>
          <w:color w:val="333333"/>
          <w:sz w:val="21"/>
          <w:szCs w:val="21"/>
        </w:rPr>
        <w:t>՝ 92-1.2-Ղ4-1)</w:t>
      </w:r>
    </w:p>
    <w:p w:rsidR="001F4381" w:rsidRDefault="001F4381" w:rsidP="001F4381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 xml:space="preserve">1.2.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անմիջական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այսուհետ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</w:t>
      </w:r>
      <w:proofErr w:type="spellEnd"/>
      <w:r>
        <w:rPr>
          <w:rFonts w:ascii="Sylfaen" w:hAnsi="Sylfaen"/>
          <w:color w:val="333333"/>
          <w:sz w:val="21"/>
          <w:szCs w:val="21"/>
        </w:rPr>
        <w:t>):</w:t>
      </w:r>
      <w:r>
        <w:rPr>
          <w:rFonts w:ascii="Sylfaen" w:hAnsi="Sylfaen"/>
          <w:color w:val="333333"/>
          <w:sz w:val="21"/>
          <w:szCs w:val="21"/>
        </w:rPr>
        <w:br/>
        <w:t xml:space="preserve">1.3.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ճարտարապետաշինարարական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բաժնի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տրանսպորտի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ճանապարհաշինության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բաժնի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աշխատողները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1.4. </w:t>
      </w:r>
      <w:proofErr w:type="spellStart"/>
      <w:r>
        <w:rPr>
          <w:rFonts w:ascii="Sylfaen" w:hAnsi="Sylfaen"/>
          <w:color w:val="333333"/>
          <w:sz w:val="21"/>
          <w:szCs w:val="21"/>
        </w:rPr>
        <w:t>Փոխարինող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անվանումները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բացակայության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դեպքում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նրան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փոխարինում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Բաժինների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պետերից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մեկը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1.5.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Աշխատավայրը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ք. </w:t>
      </w:r>
      <w:proofErr w:type="spellStart"/>
      <w:r>
        <w:rPr>
          <w:rFonts w:ascii="Sylfaen" w:hAnsi="Sylfaen"/>
          <w:color w:val="333333"/>
          <w:sz w:val="21"/>
          <w:szCs w:val="21"/>
        </w:rPr>
        <w:t>Աշտարակ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Վ. </w:t>
      </w:r>
      <w:proofErr w:type="spellStart"/>
      <w:r>
        <w:rPr>
          <w:rFonts w:ascii="Sylfaen" w:hAnsi="Sylfaen"/>
          <w:color w:val="333333"/>
          <w:sz w:val="21"/>
          <w:szCs w:val="21"/>
        </w:rPr>
        <w:t>Պետրոսյան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4</w:t>
      </w:r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բնութագիրը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2.1.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բնույթը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պարտականությունները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այսուհետ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)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բնակավայրերի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գլխավոր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հատակագծերի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հաստատմանը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գլխավոր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հատակագծի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առաջադրանքի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համաձայնեցումների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գործընթացը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մարմինների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գործունեության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վերահսկողությունը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քաղաքաշինության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բնագավառում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սահմանների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փոփոխման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առաջարկություններ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զարգացման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տարաբնակեցման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ուրվագծերի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եզրակացություն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կապիտալ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շինարարության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կապիտալ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վերանորոգման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պատվիրատուի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Sylfaen" w:hAnsi="Sylfaen"/>
          <w:color w:val="333333"/>
          <w:sz w:val="21"/>
          <w:szCs w:val="21"/>
        </w:rPr>
        <w:t>ըստ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անցկացնում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ինքնակառավարման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մարմիններում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տարածքում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ինքնակամ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քաղաքաշինական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ծրագրային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չհամապատասխանող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շինարարության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դեպքեր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հայտնաբերելիս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ինչպես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նաև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քաղաքացիների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դիմում-բողոքների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հիման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վրա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6.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բնակավայրերի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պատմամշակութային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հիմնավորման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հուշարձանների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պահպանական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գոտիների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եզրակացության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հիման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վրա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նշանակության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հուշարձանների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փոփոխման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թույլտվության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7.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հատակագծման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ուրվագծի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մշակման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առաջադրանքի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համաձայնեցման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գործընթացը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առաջարկություններ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դիտողություններ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մշակված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8.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աղետի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հետևանքով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անօթևան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դարձած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ընտանիքների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ամենամյա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հաշվառման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հերթացուցակների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ԲԳՎ </w:t>
      </w:r>
      <w:proofErr w:type="spellStart"/>
      <w:r>
        <w:rPr>
          <w:rFonts w:ascii="Sylfaen" w:hAnsi="Sylfaen"/>
          <w:color w:val="333333"/>
          <w:sz w:val="21"/>
          <w:szCs w:val="21"/>
        </w:rPr>
        <w:t>ծրագրի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միջոցով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բնակարանային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9.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աջակցության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ներդրումային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ծրագրերով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բնակարանների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lastRenderedPageBreak/>
        <w:t>անհատույց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սեփականության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հատկացնելու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գործընթացը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10.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ջրմուղ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կոյուղու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ջրերի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մաքրման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կոմունալ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11.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գյուղական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անապահով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ընտանիքների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գազամատակարարման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ծրագրի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12.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բազմաբնակարան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շենքերի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գործընթացի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հետևողական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տանում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բնակավայրերի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բարեկարգման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սանիտարական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ուղղությամբ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13.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ավտոմոբիլային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ճանապարհների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ձմեռային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ընթացիկ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պահպանության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շահագործման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14.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միջհամայնքային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հասարակական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տրանսպորտի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տրանսպորտային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գործունեության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15.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նշանակության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ճանապարհների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թունելների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կամուրջների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ինժեներական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կառույցների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շինարարության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պահպանման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շահագործման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16.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էներգետիկայի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ոլորտների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կատարումը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17.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ավտոճանապարհների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պաշտպանական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գոտիներում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տարբեր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շինությունների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կոմունիկացիանների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գովազդների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տեղադրման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օրինականության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18.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ճանապարհների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կապալառու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երթուղիներով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ուղևորափոխադրող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ընտրությունների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մրցույթների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՝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քաղաքաշինական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բնագավառի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անցկացնել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ինքնակառավարման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մարմիններում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հրավիրել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մասնագետներ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շինարարության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/</w:t>
      </w:r>
      <w:proofErr w:type="spellStart"/>
      <w:r>
        <w:rPr>
          <w:rFonts w:ascii="Sylfaen" w:hAnsi="Sylfaen"/>
          <w:color w:val="333333"/>
          <w:sz w:val="21"/>
          <w:szCs w:val="21"/>
        </w:rPr>
        <w:t>քանդման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/ </w:t>
      </w:r>
      <w:proofErr w:type="spellStart"/>
      <w:r>
        <w:rPr>
          <w:rFonts w:ascii="Sylfaen" w:hAnsi="Sylfaen"/>
          <w:color w:val="333333"/>
          <w:sz w:val="21"/>
          <w:szCs w:val="21"/>
        </w:rPr>
        <w:t>թույլտվությունների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կառուցապատման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ինքնակամ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օբյեկտների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հայտնաբերման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կասեցման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օրինականացման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մերժման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կայացման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կատարել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վերահսկողություն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պատմամշակութային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հուշարձանների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հաշվառման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պահպանման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ոլորտում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ավտոմոբիլային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ճանապարհներին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հարող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տարածքների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կատարել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պարբերաբար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բնակարանային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գործընթացը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եզրակացություն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կոմունալ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տնտեսության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համագործակցել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տարբեր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կառույցների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լրացուցիչ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նյութեր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բնակիչների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հանդիպումներ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ավտոճանապարհների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վիճակի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գնահատման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ձմեռային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պահպանության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նշանակության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ճանապարհների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անցանելիության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իրավասություններից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բխող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առաջարկություններ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դիտարկումներ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հիմնավորումներ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Պարտականությունները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t>՝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բխող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առաջարկությունները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հիմքերը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կազմավորել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խմբեր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մշակել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մեթոդական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ուղեցույց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մոնիթորինգի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արդյունքները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առաջարկությունները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կազմելիս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կատարել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եզրակացություն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խորհրդատվություն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էներգետիկայի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ոլորտում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կատարված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լրացուցիչ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</w:r>
      <w:r>
        <w:rPr>
          <w:rFonts w:ascii="Sylfaen" w:hAnsi="Sylfaen"/>
          <w:color w:val="333333"/>
          <w:sz w:val="21"/>
          <w:szCs w:val="21"/>
        </w:rPr>
        <w:lastRenderedPageBreak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բխող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մարմինների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նյութերը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լրացուցիչ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կանոնակարգող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առնչվող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ակտերը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պարբերաբար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թարմացնել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ժամկետներում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տրամադրումը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մշակել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արդյունքները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3.1. </w:t>
      </w:r>
      <w:proofErr w:type="spellStart"/>
      <w:r>
        <w:rPr>
          <w:rFonts w:ascii="Sylfaen" w:hAnsi="Sylfaen"/>
          <w:color w:val="333333"/>
          <w:sz w:val="21"/>
          <w:szCs w:val="21"/>
        </w:rPr>
        <w:t>Կրթություն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որակավորման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աստիճանը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 </w:t>
      </w:r>
      <w:proofErr w:type="spellStart"/>
      <w:r>
        <w:rPr>
          <w:rFonts w:ascii="Sylfaen" w:hAnsi="Sylfaen"/>
          <w:color w:val="333333"/>
          <w:sz w:val="21"/>
          <w:szCs w:val="21"/>
        </w:rPr>
        <w:t>Ուղղություն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Ճարտարագիտություն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Արդյունաբերություն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ԵՎ </w:t>
      </w:r>
      <w:proofErr w:type="spellStart"/>
      <w:r>
        <w:rPr>
          <w:rFonts w:ascii="Sylfaen" w:hAnsi="Sylfaen"/>
          <w:color w:val="333333"/>
          <w:sz w:val="21"/>
          <w:szCs w:val="21"/>
        </w:rPr>
        <w:t>Շինարարություն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 </w:t>
      </w:r>
      <w:proofErr w:type="spellStart"/>
      <w:r>
        <w:rPr>
          <w:rFonts w:ascii="Sylfaen" w:hAnsi="Sylfaen"/>
          <w:color w:val="333333"/>
          <w:sz w:val="21"/>
          <w:szCs w:val="21"/>
        </w:rPr>
        <w:t>Ոլորտ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Ճարտարագիտություն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Շինարարություն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Ենթաոլորտ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Ճարտարապետություն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քաղաքաշինություն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տնտեսություն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Շենքերի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ճարտարագիտություն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3.2.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գիտելիքները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Ունի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գիտելիքներ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3.3.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բնագավառում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փորձը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Հանրային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ծառայության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առնվազն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երեք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տարվա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հինգ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տարվա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ճարտարագիտության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բնագավառում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հինգ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տարվա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3.4.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կոմպետենցիաներ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Ընդհանրական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կոմպետենցիաներ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Աշխատակազմի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Քաղաքականության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մոնիթորինգ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կայացում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Ծրագրերի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Sylfaen" w:hAnsi="Sylfaen"/>
          <w:color w:val="333333"/>
          <w:sz w:val="21"/>
          <w:szCs w:val="21"/>
        </w:rPr>
        <w:t>Խնդրի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6. </w:t>
      </w:r>
      <w:proofErr w:type="spellStart"/>
      <w:r>
        <w:rPr>
          <w:rFonts w:ascii="Sylfaen" w:hAnsi="Sylfaen"/>
          <w:color w:val="333333"/>
          <w:sz w:val="21"/>
          <w:szCs w:val="21"/>
        </w:rPr>
        <w:t>Բարեվարքություն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Ընտրանքային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կոմպետենցիաներ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 </w:t>
      </w:r>
      <w:proofErr w:type="spellStart"/>
      <w:r>
        <w:rPr>
          <w:rFonts w:ascii="Sylfaen" w:hAnsi="Sylfaen"/>
          <w:color w:val="333333"/>
          <w:sz w:val="21"/>
          <w:szCs w:val="21"/>
        </w:rPr>
        <w:t>Բանակցությունների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Փոփոխությունների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Ժողովների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խորհրդակցությունների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նախապատրաստում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4.1.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պատասխանատվությունը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Պատասխանատու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ոլորտների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իրավասու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4.2.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կայացնելու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Կայացնում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ոլորտների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իրավասու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>։</w:t>
      </w:r>
      <w:r>
        <w:rPr>
          <w:rFonts w:ascii="Sylfaen" w:hAnsi="Sylfaen"/>
          <w:color w:val="333333"/>
          <w:sz w:val="21"/>
          <w:szCs w:val="21"/>
        </w:rPr>
        <w:br/>
        <w:t xml:space="preserve">4.3.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Գործունեության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ազդեցությունը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Ունի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գերատեսչական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մակարդակում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քաղաքականության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արդյունքում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անձանց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վրա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ազդեցություն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>։</w:t>
      </w:r>
      <w:r>
        <w:rPr>
          <w:rFonts w:ascii="Sylfaen" w:hAnsi="Sylfaen"/>
          <w:color w:val="333333"/>
          <w:sz w:val="21"/>
          <w:szCs w:val="21"/>
        </w:rPr>
        <w:br/>
        <w:t xml:space="preserve">4.4. </w:t>
      </w:r>
      <w:proofErr w:type="spellStart"/>
      <w:r>
        <w:rPr>
          <w:rFonts w:ascii="Sylfaen" w:hAnsi="Sylfaen"/>
          <w:color w:val="333333"/>
          <w:sz w:val="21"/>
          <w:szCs w:val="21"/>
        </w:rPr>
        <w:t>Շփումները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ներկայացուցչությունը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Շփվում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որպես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հանդես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գալիս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տվյալ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մարմինների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ինչպես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նաև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օտարերկրյա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միջազգային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իրավասությունների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4.5.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բարդությունը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դրանց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լուծումը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lastRenderedPageBreak/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բացահայտում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գնահատում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բխող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դրանց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տալիս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մասնակցում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այդ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լուծմանը</w:t>
      </w:r>
      <w:proofErr w:type="spellEnd"/>
      <w:r>
        <w:rPr>
          <w:rFonts w:ascii="Sylfaen" w:hAnsi="Sylfaen"/>
          <w:color w:val="333333"/>
          <w:sz w:val="21"/>
          <w:szCs w:val="21"/>
        </w:rPr>
        <w:t>։</w:t>
      </w:r>
    </w:p>
    <w:p w:rsidR="001F4381" w:rsidRDefault="001F4381" w:rsidP="001F4381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> </w:t>
      </w:r>
    </w:p>
    <w:p w:rsidR="00C76E01" w:rsidRDefault="00C76E01">
      <w:bookmarkStart w:id="0" w:name="_GoBack"/>
      <w:bookmarkEnd w:id="0"/>
    </w:p>
    <w:sectPr w:rsidR="00C7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ED"/>
    <w:rsid w:val="001928ED"/>
    <w:rsid w:val="001F4381"/>
    <w:rsid w:val="00C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7D87-7E4E-494B-8251-B265072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7495</Characters>
  <Application>Microsoft Office Word</Application>
  <DocSecurity>0</DocSecurity>
  <Lines>62</Lines>
  <Paragraphs>17</Paragraphs>
  <ScaleCrop>false</ScaleCrop>
  <Company>HP Inc.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3</cp:revision>
  <dcterms:created xsi:type="dcterms:W3CDTF">2020-12-09T05:16:00Z</dcterms:created>
  <dcterms:modified xsi:type="dcterms:W3CDTF">2020-12-09T05:16:00Z</dcterms:modified>
</cp:coreProperties>
</file>