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63" w:rsidRPr="00F45863" w:rsidRDefault="00F45863" w:rsidP="00F458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eastAsia="ru-RU"/>
        </w:rPr>
        <w:t>ՀԱՅԱՍՏԱՆԻ ՀԱՆՐԱՊԵՏՈՒԹՅԱՆ ԿԱՌԱՎԱՐՈՒԹՅՈՒՆ</w:t>
      </w:r>
    </w:p>
    <w:p w:rsidR="00F45863" w:rsidRPr="00F45863" w:rsidRDefault="00F45863" w:rsidP="00F458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F45863" w:rsidRPr="00F45863" w:rsidRDefault="00F45863" w:rsidP="00F458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eastAsia="ru-RU"/>
        </w:rPr>
        <w:t>Ո Ր Ո Շ ՈՒ Մ</w:t>
      </w:r>
    </w:p>
    <w:p w:rsidR="00F45863" w:rsidRPr="00F45863" w:rsidRDefault="00F45863" w:rsidP="00F458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F45863" w:rsidRPr="00F45863" w:rsidRDefault="00F45863" w:rsidP="00F458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30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ապրիլի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2020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N 647-Ն</w:t>
      </w:r>
    </w:p>
    <w:p w:rsidR="00F45863" w:rsidRPr="00F45863" w:rsidRDefault="00F45863" w:rsidP="00F458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F45863" w:rsidRPr="00F45863" w:rsidRDefault="00F45863" w:rsidP="00F458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ՄԱՐԶԻ ԽՈՐՀՐԴԻ ԿԱԶՄԱՎՈՐՄԱՆ ԵՎ ԳՈՐԾՈՒՆԵՈՒԹՅԱՆ</w:t>
      </w:r>
      <w:r w:rsidRPr="00F4586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 </w:t>
      </w:r>
      <w:r w:rsidRPr="00F45863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lang w:eastAsia="ru-RU"/>
        </w:rPr>
        <w:t>ԿԱՐԳԸ</w:t>
      </w:r>
      <w:r w:rsidRPr="00F4586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F45863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lang w:eastAsia="ru-RU"/>
        </w:rPr>
        <w:t>ՍԱՀՄԱՆԵԼՈՒ</w:t>
      </w:r>
      <w:r w:rsidRPr="00F4586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F45863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lang w:eastAsia="ru-RU"/>
        </w:rPr>
        <w:t>ՄԱՍԻՆ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F45863" w:rsidRPr="00F45863" w:rsidRDefault="00F45863" w:rsidP="0083384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Հիմք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ընդունելով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Տարածքային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կառավարման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Հայաստանի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2019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նոյեմբերի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14-ի ՀՕ-252-Ն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օրենքի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21-րդ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հոդվածի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2-րդ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մասը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Հայաստանի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կառավարությունը</w:t>
      </w:r>
      <w:proofErr w:type="spellEnd"/>
      <w:r w:rsidRPr="00F4586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  <w:proofErr w:type="spellStart"/>
      <w:r w:rsidRPr="00F45863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lang w:eastAsia="ru-RU"/>
        </w:rPr>
        <w:t>որոշում</w:t>
      </w:r>
      <w:proofErr w:type="spellEnd"/>
      <w:r w:rsidRPr="00F45863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է.</w:t>
      </w:r>
    </w:p>
    <w:p w:rsidR="00F45863" w:rsidRPr="00F45863" w:rsidRDefault="00F45863" w:rsidP="0083384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Սահմանել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կազմավորման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գործունեության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կարգը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համաձայն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հավելվածի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2"/>
      </w:tblGrid>
      <w:tr w:rsidR="00F45863" w:rsidRPr="00F45863" w:rsidTr="00F45863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F45863" w:rsidRPr="00F45863" w:rsidRDefault="00F45863" w:rsidP="00F458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Հայաստանի</w:t>
            </w:r>
            <w:proofErr w:type="spellEnd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Հանրապետության</w:t>
            </w:r>
            <w:proofErr w:type="spellEnd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45863" w:rsidRPr="00F45863" w:rsidRDefault="00F45863" w:rsidP="00F4586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Ն. </w:t>
            </w:r>
            <w:proofErr w:type="spellStart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Փաշինյան</w:t>
            </w:r>
            <w:proofErr w:type="spellEnd"/>
          </w:p>
        </w:tc>
      </w:tr>
      <w:tr w:rsidR="00F45863" w:rsidRPr="00F45863" w:rsidTr="00F458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5863" w:rsidRPr="00F45863" w:rsidRDefault="00F45863" w:rsidP="00F458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45863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 </w:t>
            </w:r>
          </w:p>
          <w:p w:rsidR="00F45863" w:rsidRPr="00F45863" w:rsidRDefault="00F45863" w:rsidP="00F458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458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2020 թ. </w:t>
            </w:r>
            <w:proofErr w:type="spellStart"/>
            <w:r w:rsidRPr="00F458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մայիսի</w:t>
            </w:r>
            <w:proofErr w:type="spellEnd"/>
            <w:r w:rsidRPr="00F458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4</w:t>
            </w:r>
          </w:p>
          <w:p w:rsidR="00F45863" w:rsidRPr="00F45863" w:rsidRDefault="00F45863" w:rsidP="00F458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58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863" w:rsidRPr="00F45863" w:rsidRDefault="00F45863" w:rsidP="00F4586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</w:tbl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2"/>
        <w:gridCol w:w="4521"/>
      </w:tblGrid>
      <w:tr w:rsidR="00F45863" w:rsidRPr="00F45863" w:rsidTr="00F458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5863" w:rsidRPr="00F45863" w:rsidRDefault="00F45863" w:rsidP="00F458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F45863" w:rsidRPr="00F45863" w:rsidRDefault="00F45863" w:rsidP="00F458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eastAsia="ru-RU"/>
              </w:rPr>
              <w:t>Հավելված</w:t>
            </w:r>
            <w:proofErr w:type="spellEnd"/>
          </w:p>
          <w:p w:rsidR="00F45863" w:rsidRPr="00F45863" w:rsidRDefault="00F45863" w:rsidP="00F458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ՀՀ </w:t>
            </w:r>
            <w:proofErr w:type="spellStart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eastAsia="ru-RU"/>
              </w:rPr>
              <w:t>կառավարության</w:t>
            </w:r>
            <w:proofErr w:type="spellEnd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2020 </w:t>
            </w:r>
            <w:proofErr w:type="spellStart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eastAsia="ru-RU"/>
              </w:rPr>
              <w:t>թվականի</w:t>
            </w:r>
            <w:proofErr w:type="spellEnd"/>
          </w:p>
          <w:p w:rsidR="00F45863" w:rsidRPr="00F45863" w:rsidRDefault="00F45863" w:rsidP="00F458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eastAsia="ru-RU"/>
              </w:rPr>
              <w:t>ապրիլի</w:t>
            </w:r>
            <w:proofErr w:type="spellEnd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30-ի N 647-Ն </w:t>
            </w:r>
            <w:proofErr w:type="spellStart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eastAsia="ru-RU"/>
              </w:rPr>
              <w:t>որոշման</w:t>
            </w:r>
            <w:proofErr w:type="spellEnd"/>
          </w:p>
        </w:tc>
      </w:tr>
    </w:tbl>
    <w:p w:rsidR="00F45863" w:rsidRPr="00F45863" w:rsidRDefault="00F45863" w:rsidP="00F458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F45863" w:rsidRPr="00F45863" w:rsidRDefault="00F45863" w:rsidP="00F458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Կ Ա Ր Գ</w:t>
      </w:r>
    </w:p>
    <w:p w:rsidR="00F45863" w:rsidRPr="00F45863" w:rsidRDefault="00F45863" w:rsidP="00F458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F45863" w:rsidRPr="00F45863" w:rsidRDefault="00F45863" w:rsidP="00F458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ՄԱՐԶԻ ԽՈՐՀՐԴԻ ԿԱԶՄԱՎՈՐՄԱՆ ԵՎ ԳՈՐԾՈՒՆԵՈՒԹՅԱՆ</w:t>
      </w:r>
    </w:p>
    <w:p w:rsidR="00F45863" w:rsidRPr="00F45863" w:rsidRDefault="00F45863" w:rsidP="00F458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կարգով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այսուհետ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կարգ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սահմանվում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կազմավորման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գործունեության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կապված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հարաբերությունները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։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խորհուրդը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կից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գործող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խորհրդակցական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մարմին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է։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կազմում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ընդգրկվում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նրա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տեղակալը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տեղակալները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համայնքների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ղեկավարները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համաձայնությամբ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):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հրավերով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կարող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մասնակցել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համայնքների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ավագանու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անդամները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ենթակայության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կազմակերպությունների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ղեկավարներ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մարզպետարանի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կառուցվածքային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ստորաբաժանումների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ղեկավարներ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կառավարման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համակարգի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մարմինների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տարածքային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ստորաբաժանումների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ինչպես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հասարակական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միավորումների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ներկայացուցիչներ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անձինք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ի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պաշտոնե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նախագահն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է։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հրավիրում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վարում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նիստերը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առնվազն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յուրաքանչյուր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եռամսյակը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մեկ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անգամ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բացակայության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որոշմամբ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հրավիրում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վարում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նրա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տեղակալներից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մեկը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իրավազոր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եթե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մասնակցում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անդամների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առնվազն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կեսից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ավելին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6.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նիստից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առնվազն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յոթ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աշխատանքային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առաջ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անցկացման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վայրի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օրվա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ժամի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պատշաճ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ծանուցում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անդամներին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հրավիրվող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7.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համայնքների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ավագանու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անդամները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օրակարգում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հարցեր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ընդգրկելու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վերաբերյալ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առաջարկությունները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ներկայացնում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իրենց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համայնքի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ղեկավարի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միջոցով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lastRenderedPageBreak/>
        <w:t xml:space="preserve">8.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անդամները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նիստից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առնվազն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հինգ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աշխատանքային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առաջ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կարող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ներկայացնել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առաջարկություններ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օրակարգում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հարց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հարցեր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ընդգրկելու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նպատակով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9.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երկու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աշխատանքային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օրվա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ընթացքում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քննարկում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ներկայացված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առաջարկությունները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կազմում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օրակարգի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նախագիծ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։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10.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Նիստից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առնվազն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երեք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աշխատանքային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առաջ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Տարածքային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կառավարման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ենթակառուցվածքների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նախարարին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ներկայացնում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օրակարգի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նախագիծը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տեղեկատվություն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անցկացման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վայրի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օրվա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ժամի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վերաբերյալ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11.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օրակարգի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նախագիծը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հրապարակվում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մարզպետարանի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պաշտոնական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կայքում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նիստից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առնվազն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երեք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աշխատանքային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առաջ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12.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սահմանած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օրակարգը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հաստատվում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ներկա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անդամների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ձայների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մեծամասնությամբ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13.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օրակարգի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յուրաքանչյուր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հարցի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վերաբերյալ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նշանակում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զեկուցող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։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Զեկուցման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զեկույցի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շուրջ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ծավալվող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ելույթների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ինչպես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հարց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ու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պատասխանի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սահմանում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ողջամիտ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ժամանակահատվածներ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։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14.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հրապարակային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է: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15.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լուսաբանվում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մարզպետարանում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հավատարմագրված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զանգվածային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լրատվության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միջոցներով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16.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նիստերն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արձանագրվում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արձանագրումը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կազմակերպում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մարզպետարանի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գլխավոր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քարտուղարը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արձանագրությունն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ստորագրում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։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Յուրաքանչյուր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ավարտից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հետո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յոթ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աշխատանքային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օրվա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ընթացքում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արձանագրությունը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ներկայացնում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Հայաստանի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տարածքային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կառավարման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ենթակառուցվածքների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նախարարին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17.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անդամների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ձայների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առնվազն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1/3-ի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առաջարկով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կարող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հրավիրվել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արտահերթ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18.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՝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1)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քննարկմանն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ներկայացնում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՝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ա.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Հայաստանի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կառավարությանը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Հայաստանի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վարչապետին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ներկայացվող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հաշվետվությունները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սոցիալ-տնտեսական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վիճակի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գործունեության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,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բ.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զարգացման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ռազմավարությունը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,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գ.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զարգացման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ռազմավարության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հիման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վրա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տարեկան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գործունեության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ծրագրի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կազմման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իրականացման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կիսամյակային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տարեկան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մշտադիտարկման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արդյունքները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,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դ.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Հայաստանի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բյուջեի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նախագծի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վերաբերող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հատվածի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ինչպես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բյուջեից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համայնքների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բյուջեներին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կատարվող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հատկացումների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վերաբերյալ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առաջարկությունները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,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ե.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կտրվածքով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միջնաժամկետ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ծախսերի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ծրագրի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հայտը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նախագիծը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ինչպես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տվյալ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տարվան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հաջորդող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տարվա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բյուջեի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հայտերը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նախագիծը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զ.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Հայաստանի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բյուջեով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միջոցներով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վերաբերող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ծրագրերի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կատարման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ընթացքը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,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է.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տվյալ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տարվա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բյուջեով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հատկացված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միջոցներով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իրականացված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ծրագրերի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եռամսյակային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կիսամյակային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իննամսյա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հաշվետվությունների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վերաբերյալ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հաղորդում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իսկ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տվյալ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տարվա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հաշվետվության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վերաբերյալ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հաղորդումը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ներկայացնում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գանձապետական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համակարգի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տարեկան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հաշվետվությունը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հրապարակվելուց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հետո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կայանալիք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ժամանակ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,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ը.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համայնքների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ղեկավարների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առաջարկություններն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ու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դիտողությունները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մարզպետարանի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ենթակայության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կազմակերպությունների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տարածքում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գործող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առևտրային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ոչ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առևտրային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կազմակերպությունների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գործունեության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վերաբերյալ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,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թ.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համայնքների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ղեկավարների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զեկույցները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համայնքների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սոցիալական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զարգացմանն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ուղղված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տեղական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սոցիալական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ծրագրերի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ընթացքի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վերաբերյալ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,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lastRenderedPageBreak/>
        <w:t xml:space="preserve">ժ.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օրենքով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կարգով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համապատասխան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մարմինների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մարզպետարանի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աշխատակազմում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ենթակայության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կազմակերպություններում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ինչպես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համայնքապետարանների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աշխատակազմերում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համայնքային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բյուջետային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հիմնարկներում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համայնքային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մասնակցությամբ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առևտրային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ոչ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առևտրային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կազմակերպություններում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իրականացված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վերահսկողության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ստուգման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ուսումնասիրության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արդյունքում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կազմված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փաստաթղթերը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ժա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օրենքով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կարգով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համապատասխան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մարմինների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տեղական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ինքնակառավարման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մարմիններում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իրականացված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իրավական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մասնագիտական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հսկողության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արդյունքում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կազմված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փաստաթղթերը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ժբ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 «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Տեղական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ինքնակառավարման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Հայաստանի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օրենքով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նախատեսված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իրավական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մասնագիտական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հսկողություն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իրականացնող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մարմինների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համայնքներում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իրականացված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հսկողության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արդյունքում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կազմված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փաստաթղթերը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ժգ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օրենքով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կարգով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տվյալ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տարվան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հաջորդող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տարվա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համայնքներում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իրականացվելիք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իրավական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մասնագիտական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հսկողության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ամենամյա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աշխատանքային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ծրագրի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դրա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փոփոխությունների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նախագիծը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ժդ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ներկայացնում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Հայաստանի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օրենսդրությամբ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մարզին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առնչվող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հարցեր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լուծում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կազմակերպական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հարցեր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19.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Խորհրդի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քարտուղարության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գործառույթներն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իրականացնում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մարզպետարանի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աշխատակազմը</w:t>
      </w:r>
      <w:proofErr w:type="spellEnd"/>
      <w:r w:rsidRPr="00F4586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F45863" w:rsidRPr="00F45863" w:rsidRDefault="00F45863" w:rsidP="00F458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4586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2"/>
      </w:tblGrid>
      <w:tr w:rsidR="00F45863" w:rsidRPr="00F45863" w:rsidTr="00F45863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F45863" w:rsidRPr="00F45863" w:rsidRDefault="00F45863" w:rsidP="00F458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Հայաստանի</w:t>
            </w:r>
            <w:proofErr w:type="spellEnd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Հանրապետության</w:t>
            </w:r>
            <w:proofErr w:type="spellEnd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վարչապետի</w:t>
            </w:r>
            <w:proofErr w:type="spellEnd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աշխատակազմի</w:t>
            </w:r>
            <w:proofErr w:type="spellEnd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45863" w:rsidRPr="00F45863" w:rsidRDefault="00F45863" w:rsidP="00F4586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Է. </w:t>
            </w:r>
            <w:proofErr w:type="spellStart"/>
            <w:r w:rsidRPr="00F4586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Աղաջանյան</w:t>
            </w:r>
            <w:proofErr w:type="spellEnd"/>
          </w:p>
        </w:tc>
      </w:tr>
    </w:tbl>
    <w:p w:rsidR="001E655F" w:rsidRPr="00F45863" w:rsidRDefault="001E655F">
      <w:pPr>
        <w:rPr>
          <w:rFonts w:ascii="GHEA Grapalat" w:hAnsi="GHEA Grapalat"/>
        </w:rPr>
      </w:pPr>
    </w:p>
    <w:sectPr w:rsidR="001E655F" w:rsidRPr="00F4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63"/>
    <w:rsid w:val="001E655F"/>
    <w:rsid w:val="00833844"/>
    <w:rsid w:val="00F4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863"/>
    <w:rPr>
      <w:b/>
      <w:bCs/>
    </w:rPr>
  </w:style>
  <w:style w:type="character" w:styleId="a5">
    <w:name w:val="Emphasis"/>
    <w:basedOn w:val="a0"/>
    <w:uiPriority w:val="20"/>
    <w:qFormat/>
    <w:rsid w:val="00F458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863"/>
    <w:rPr>
      <w:b/>
      <w:bCs/>
    </w:rPr>
  </w:style>
  <w:style w:type="character" w:styleId="a5">
    <w:name w:val="Emphasis"/>
    <w:basedOn w:val="a0"/>
    <w:uiPriority w:val="20"/>
    <w:qFormat/>
    <w:rsid w:val="00F45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2020-05-20T12:03:00Z</dcterms:created>
  <dcterms:modified xsi:type="dcterms:W3CDTF">2020-05-20T12:05:00Z</dcterms:modified>
</cp:coreProperties>
</file>